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auto"/>
          <w:sz w:val="32"/>
          <w:szCs w:val="32"/>
        </w:rPr>
      </w:pPr>
    </w:p>
    <w:p>
      <w:pPr>
        <w:jc w:val="center"/>
        <w:rPr>
          <w:rFonts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ascii="黑体" w:hAnsi="黑体" w:eastAsia="黑体"/>
          <w:color w:val="auto"/>
          <w:sz w:val="32"/>
          <w:szCs w:val="32"/>
        </w:rPr>
      </w:pPr>
    </w:p>
    <w:p>
      <w:pPr>
        <w:ind w:firstLine="640" w:firstLineChars="200"/>
        <w:rPr>
          <w:rFonts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rPr>
        <w:t>4</w:t>
      </w:r>
      <w:r>
        <w:rPr>
          <w:rFonts w:ascii="黑体" w:hAnsi="黑体" w:eastAsia="黑体"/>
          <w:color w:val="auto"/>
          <w:sz w:val="32"/>
          <w:szCs w:val="32"/>
        </w:rPr>
        <w:t>年收支预算总体情况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按照综合预算的原则，所有收入和支出全部纳入部门预算管理。收入包括：一般公共预算拨款收入、</w:t>
      </w:r>
      <w:r>
        <w:rPr>
          <w:rFonts w:hint="eastAsia" w:ascii="仿宋" w:hAnsi="仿宋" w:eastAsia="仿宋"/>
          <w:color w:val="auto"/>
          <w:sz w:val="32"/>
          <w:szCs w:val="32"/>
        </w:rPr>
        <w:t>事业及经营收入、</w:t>
      </w:r>
      <w:r>
        <w:rPr>
          <w:rFonts w:ascii="仿宋" w:hAnsi="仿宋" w:eastAsia="仿宋"/>
          <w:color w:val="auto"/>
          <w:sz w:val="32"/>
          <w:szCs w:val="32"/>
        </w:rPr>
        <w:t>其他收入、上年结转；支出包括：一般公共服务支出、社会保障和就业支出、卫生健康支出、住房保障支出。202</w:t>
      </w:r>
      <w:r>
        <w:rPr>
          <w:rFonts w:hint="eastAsia" w:ascii="仿宋" w:hAnsi="仿宋" w:eastAsia="仿宋"/>
          <w:color w:val="auto"/>
          <w:sz w:val="32"/>
          <w:szCs w:val="32"/>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 比20</w:t>
      </w:r>
      <w:r>
        <w:rPr>
          <w:rFonts w:hint="eastAsia" w:ascii="仿宋" w:hAnsi="仿宋" w:eastAsia="仿宋"/>
          <w:color w:val="auto"/>
          <w:sz w:val="32"/>
          <w:szCs w:val="32"/>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285.81 </w:t>
      </w:r>
      <w:r>
        <w:rPr>
          <w:rFonts w:ascii="仿宋" w:hAnsi="仿宋" w:eastAsia="仿宋"/>
          <w:color w:val="auto"/>
          <w:sz w:val="32"/>
          <w:szCs w:val="32"/>
        </w:rPr>
        <w:t>万元，主要原因是</w:t>
      </w:r>
      <w:r>
        <w:rPr>
          <w:rFonts w:hint="eastAsia" w:ascii="仿宋" w:hAnsi="仿宋" w:eastAsia="仿宋"/>
          <w:color w:val="auto"/>
          <w:sz w:val="32"/>
          <w:szCs w:val="32"/>
        </w:rPr>
        <w:t>本年度没有大型博览会和其他项目预算</w:t>
      </w:r>
      <w:r>
        <w:rPr>
          <w:rFonts w:ascii="仿宋" w:hAnsi="仿宋" w:eastAsia="仿宋"/>
          <w:color w:val="auto"/>
          <w:sz w:val="32"/>
          <w:szCs w:val="32"/>
        </w:rPr>
        <w:t xml:space="preserve">。 </w:t>
      </w:r>
    </w:p>
    <w:p>
      <w:pPr>
        <w:ind w:firstLine="640" w:firstLineChars="200"/>
        <w:rPr>
          <w:rFonts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rPr>
        <w:t>4</w:t>
      </w:r>
      <w:r>
        <w:rPr>
          <w:rFonts w:ascii="黑体" w:hAnsi="黑体" w:eastAsia="黑体"/>
          <w:color w:val="auto"/>
          <w:sz w:val="32"/>
          <w:szCs w:val="32"/>
        </w:rPr>
        <w:t>年收入预算情况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739.55</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w:t>
      </w:r>
      <w:r>
        <w:rPr>
          <w:rFonts w:hint="eastAsia" w:ascii="仿宋" w:hAnsi="仿宋" w:eastAsia="仿宋"/>
          <w:color w:val="auto"/>
          <w:sz w:val="32"/>
          <w:szCs w:val="32"/>
        </w:rPr>
        <w:t>事业及经营收入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rPr>
        <w:t>4</w:t>
      </w:r>
      <w:r>
        <w:rPr>
          <w:rFonts w:ascii="黑体" w:hAnsi="黑体" w:eastAsia="黑体"/>
          <w:color w:val="auto"/>
          <w:sz w:val="32"/>
          <w:szCs w:val="32"/>
        </w:rPr>
        <w:t>年支出预算情况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739.55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400.23   </w:t>
      </w:r>
      <w:r>
        <w:rPr>
          <w:rFonts w:ascii="仿宋" w:hAnsi="仿宋" w:eastAsia="仿宋"/>
          <w:color w:val="auto"/>
          <w:sz w:val="32"/>
          <w:szCs w:val="32"/>
        </w:rPr>
        <w:t>万元，占</w:t>
      </w:r>
      <w:r>
        <w:rPr>
          <w:rFonts w:hint="eastAsia" w:ascii="仿宋" w:hAnsi="仿宋" w:eastAsia="仿宋"/>
          <w:color w:val="auto"/>
          <w:sz w:val="32"/>
          <w:szCs w:val="32"/>
          <w:u w:val="single"/>
        </w:rPr>
        <w:t xml:space="preserve">  54.12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339.32  </w:t>
      </w:r>
      <w:r>
        <w:rPr>
          <w:rFonts w:ascii="仿宋" w:hAnsi="仿宋" w:eastAsia="仿宋"/>
          <w:color w:val="auto"/>
          <w:sz w:val="32"/>
          <w:szCs w:val="32"/>
        </w:rPr>
        <w:t>万元，占</w:t>
      </w:r>
      <w:r>
        <w:rPr>
          <w:rFonts w:hint="eastAsia" w:ascii="仿宋" w:hAnsi="仿宋" w:eastAsia="仿宋"/>
          <w:color w:val="auto"/>
          <w:sz w:val="32"/>
          <w:szCs w:val="32"/>
          <w:u w:val="single"/>
        </w:rPr>
        <w:t xml:space="preserve"> 45.88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rPr>
        <w:t>4</w:t>
      </w:r>
      <w:r>
        <w:rPr>
          <w:rFonts w:ascii="黑体" w:hAnsi="黑体" w:eastAsia="黑体"/>
          <w:color w:val="auto"/>
          <w:sz w:val="32"/>
          <w:szCs w:val="32"/>
        </w:rPr>
        <w:t>年财政拨款收支预算情况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万元。支出包括：一般公共服务支出</w:t>
      </w:r>
      <w:r>
        <w:rPr>
          <w:rFonts w:hint="eastAsia" w:ascii="仿宋" w:hAnsi="仿宋" w:eastAsia="仿宋"/>
          <w:color w:val="auto"/>
          <w:sz w:val="32"/>
          <w:szCs w:val="32"/>
          <w:u w:val="single"/>
        </w:rPr>
        <w:t xml:space="preserve">  592.95  </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96.55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20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30.05  </w:t>
      </w:r>
      <w:r>
        <w:rPr>
          <w:rFonts w:ascii="仿宋" w:hAnsi="仿宋" w:eastAsia="仿宋"/>
          <w:color w:val="auto"/>
          <w:sz w:val="32"/>
          <w:szCs w:val="32"/>
        </w:rPr>
        <w:t>万元。</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0  </w:t>
      </w:r>
      <w:r>
        <w:rPr>
          <w:rFonts w:ascii="仿宋" w:hAnsi="仿宋" w:eastAsia="仿宋"/>
          <w:color w:val="auto"/>
          <w:sz w:val="32"/>
          <w:szCs w:val="32"/>
        </w:rPr>
        <w:t>万元，占</w:t>
      </w:r>
      <w:r>
        <w:rPr>
          <w:rFonts w:hint="eastAsia" w:ascii="仿宋" w:hAnsi="仿宋" w:eastAsia="仿宋"/>
          <w:color w:val="auto"/>
          <w:sz w:val="32"/>
          <w:szCs w:val="32"/>
          <w:u w:val="single"/>
        </w:rPr>
        <w:t xml:space="preserve"> 0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400.23  </w:t>
      </w:r>
      <w:r>
        <w:rPr>
          <w:rFonts w:ascii="仿宋" w:hAnsi="仿宋" w:eastAsia="仿宋"/>
          <w:color w:val="auto"/>
          <w:sz w:val="32"/>
          <w:szCs w:val="32"/>
        </w:rPr>
        <w:t>万元，占</w:t>
      </w:r>
      <w:r>
        <w:rPr>
          <w:rFonts w:hint="eastAsia" w:ascii="仿宋" w:hAnsi="仿宋" w:eastAsia="仿宋"/>
          <w:color w:val="auto"/>
          <w:sz w:val="32"/>
          <w:szCs w:val="32"/>
          <w:u w:val="single"/>
        </w:rPr>
        <w:t xml:space="preserve"> 54.12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339.32   </w:t>
      </w:r>
      <w:r>
        <w:rPr>
          <w:rFonts w:ascii="仿宋" w:hAnsi="仿宋" w:eastAsia="仿宋"/>
          <w:color w:val="auto"/>
          <w:sz w:val="32"/>
          <w:szCs w:val="32"/>
        </w:rPr>
        <w:t>万元，占</w:t>
      </w:r>
      <w:r>
        <w:rPr>
          <w:rFonts w:hint="eastAsia" w:ascii="仿宋" w:hAnsi="仿宋" w:eastAsia="仿宋"/>
          <w:color w:val="auto"/>
          <w:sz w:val="32"/>
          <w:szCs w:val="32"/>
          <w:u w:val="single"/>
        </w:rPr>
        <w:t xml:space="preserve"> 45.88  </w:t>
      </w:r>
      <w:r>
        <w:rPr>
          <w:rFonts w:ascii="仿宋" w:hAnsi="仿宋" w:eastAsia="仿宋"/>
          <w:color w:val="auto"/>
          <w:sz w:val="32"/>
          <w:szCs w:val="32"/>
        </w:rPr>
        <w:t>%。 一般公共服务（类）支出</w:t>
      </w:r>
      <w:r>
        <w:rPr>
          <w:rFonts w:hint="eastAsia" w:ascii="仿宋" w:hAnsi="仿宋" w:eastAsia="仿宋"/>
          <w:color w:val="auto"/>
          <w:sz w:val="32"/>
          <w:szCs w:val="32"/>
          <w:u w:val="single"/>
        </w:rPr>
        <w:t xml:space="preserve">  592.95  </w:t>
      </w:r>
      <w:r>
        <w:rPr>
          <w:rFonts w:ascii="仿宋" w:hAnsi="仿宋" w:eastAsia="仿宋"/>
          <w:color w:val="auto"/>
          <w:sz w:val="32"/>
          <w:szCs w:val="32"/>
        </w:rPr>
        <w:t>万元，占</w:t>
      </w:r>
      <w:r>
        <w:rPr>
          <w:rFonts w:hint="eastAsia" w:ascii="仿宋" w:hAnsi="仿宋" w:eastAsia="仿宋"/>
          <w:color w:val="auto"/>
          <w:sz w:val="32"/>
          <w:szCs w:val="32"/>
          <w:u w:val="single"/>
        </w:rPr>
        <w:t xml:space="preserve"> 80.18  </w:t>
      </w:r>
      <w:r>
        <w:rPr>
          <w:rFonts w:ascii="仿宋" w:hAnsi="仿宋" w:eastAsia="仿宋"/>
          <w:color w:val="auto"/>
          <w:sz w:val="32"/>
          <w:szCs w:val="32"/>
        </w:rPr>
        <w:t>%，主要用于行政事业单位人员工资、机构运行经费及</w:t>
      </w:r>
      <w:r>
        <w:rPr>
          <w:rFonts w:hint="eastAsia" w:ascii="仿宋" w:hAnsi="仿宋" w:eastAsia="仿宋"/>
          <w:color w:val="auto"/>
          <w:sz w:val="32"/>
          <w:szCs w:val="32"/>
        </w:rPr>
        <w:t>商贸</w:t>
      </w:r>
      <w:r>
        <w:rPr>
          <w:rFonts w:ascii="仿宋" w:hAnsi="仿宋" w:eastAsia="仿宋"/>
          <w:color w:val="auto"/>
          <w:sz w:val="32"/>
          <w:szCs w:val="32"/>
        </w:rPr>
        <w:t>事务方面的项目支出等。 社会保障和就业（类）支出</w:t>
      </w:r>
      <w:r>
        <w:rPr>
          <w:rFonts w:hint="eastAsia" w:ascii="仿宋" w:hAnsi="仿宋" w:eastAsia="仿宋"/>
          <w:color w:val="auto"/>
          <w:sz w:val="32"/>
          <w:szCs w:val="32"/>
          <w:u w:val="single"/>
        </w:rPr>
        <w:t xml:space="preserve">  96.55  </w:t>
      </w:r>
      <w:r>
        <w:rPr>
          <w:rFonts w:ascii="仿宋" w:hAnsi="仿宋" w:eastAsia="仿宋"/>
          <w:color w:val="auto"/>
          <w:sz w:val="32"/>
          <w:szCs w:val="32"/>
        </w:rPr>
        <w:t>万元，占</w:t>
      </w:r>
      <w:r>
        <w:rPr>
          <w:rFonts w:hint="eastAsia" w:ascii="仿宋" w:hAnsi="仿宋" w:eastAsia="仿宋"/>
          <w:color w:val="auto"/>
          <w:sz w:val="32"/>
          <w:szCs w:val="32"/>
          <w:u w:val="single"/>
        </w:rPr>
        <w:t xml:space="preserve"> 13.06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rPr>
        <w:t>及在职人员的养老保险</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20  </w:t>
      </w:r>
      <w:r>
        <w:rPr>
          <w:rFonts w:ascii="仿宋" w:hAnsi="仿宋" w:eastAsia="仿宋"/>
          <w:color w:val="auto"/>
          <w:sz w:val="32"/>
          <w:szCs w:val="32"/>
        </w:rPr>
        <w:t>万元，占</w:t>
      </w:r>
      <w:r>
        <w:rPr>
          <w:rFonts w:hint="eastAsia" w:ascii="仿宋" w:hAnsi="仿宋" w:eastAsia="仿宋"/>
          <w:color w:val="auto"/>
          <w:sz w:val="32"/>
          <w:szCs w:val="32"/>
          <w:u w:val="single"/>
        </w:rPr>
        <w:t xml:space="preserve">  2.7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30.05 </w:t>
      </w:r>
      <w:r>
        <w:rPr>
          <w:rFonts w:ascii="仿宋" w:hAnsi="仿宋" w:eastAsia="仿宋"/>
          <w:color w:val="auto"/>
          <w:sz w:val="32"/>
          <w:szCs w:val="32"/>
        </w:rPr>
        <w:t>万元，占</w:t>
      </w:r>
      <w:r>
        <w:rPr>
          <w:rFonts w:hint="eastAsia" w:ascii="仿宋" w:hAnsi="仿宋" w:eastAsia="仿宋"/>
          <w:color w:val="auto"/>
          <w:sz w:val="32"/>
          <w:szCs w:val="32"/>
          <w:u w:val="single"/>
        </w:rPr>
        <w:t xml:space="preserve"> 4.06  </w:t>
      </w:r>
      <w:r>
        <w:rPr>
          <w:rFonts w:ascii="仿宋" w:hAnsi="仿宋" w:eastAsia="仿宋"/>
          <w:color w:val="auto"/>
          <w:sz w:val="32"/>
          <w:szCs w:val="32"/>
        </w:rPr>
        <w:t>%，主要用于行政事业单位为职工缴纳的住房公积金支出。</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rPr>
        <w:t>4</w:t>
      </w:r>
      <w:r>
        <w:rPr>
          <w:rFonts w:ascii="黑体" w:hAnsi="黑体" w:eastAsia="黑体"/>
          <w:color w:val="auto"/>
          <w:sz w:val="32"/>
          <w:szCs w:val="32"/>
        </w:rPr>
        <w:t>年一般公共预算基本支出情况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739.55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400.23  </w:t>
      </w:r>
      <w:r>
        <w:rPr>
          <w:rFonts w:ascii="仿宋" w:hAnsi="仿宋" w:eastAsia="仿宋"/>
          <w:color w:val="auto"/>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color w:val="auto"/>
          <w:sz w:val="32"/>
          <w:szCs w:val="32"/>
          <w:u w:val="single"/>
        </w:rPr>
        <w:t xml:space="preserve">  339.32  </w:t>
      </w:r>
      <w:r>
        <w:rPr>
          <w:rFonts w:ascii="仿宋" w:hAnsi="仿宋" w:eastAsia="仿宋"/>
          <w:color w:val="auto"/>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rPr>
        <w:t>4</w:t>
      </w:r>
      <w:r>
        <w:rPr>
          <w:rFonts w:ascii="黑体" w:hAnsi="黑体" w:eastAsia="黑体"/>
          <w:color w:val="auto"/>
          <w:sz w:val="32"/>
          <w:szCs w:val="32"/>
        </w:rPr>
        <w:t xml:space="preserve">年一般公共预算财政拨款“三公”经费情况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0.86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0.04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rPr>
        <w:t>比</w:t>
      </w:r>
      <w:r>
        <w:rPr>
          <w:rFonts w:ascii="仿宋" w:hAnsi="仿宋" w:eastAsia="仿宋"/>
          <w:color w:val="auto"/>
          <w:sz w:val="32"/>
          <w:szCs w:val="32"/>
        </w:rPr>
        <w:t xml:space="preserve">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0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0.86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0.04  </w:t>
      </w:r>
      <w:r>
        <w:rPr>
          <w:rFonts w:ascii="仿宋" w:hAnsi="仿宋" w:eastAsia="仿宋"/>
          <w:color w:val="auto"/>
          <w:sz w:val="32"/>
          <w:szCs w:val="32"/>
        </w:rPr>
        <w:t>万元，主要原因是</w:t>
      </w:r>
      <w:r>
        <w:rPr>
          <w:rFonts w:hint="eastAsia" w:ascii="仿宋" w:hAnsi="仿宋" w:eastAsia="仿宋"/>
          <w:color w:val="auto"/>
          <w:sz w:val="32"/>
          <w:szCs w:val="32"/>
        </w:rPr>
        <w:t>厉行节约，压减开支</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0  </w:t>
      </w:r>
      <w:r>
        <w:rPr>
          <w:rFonts w:ascii="仿宋" w:hAnsi="仿宋" w:eastAsia="仿宋"/>
          <w:color w:val="auto"/>
          <w:sz w:val="32"/>
          <w:szCs w:val="32"/>
        </w:rPr>
        <w:t>万元，比 20</w:t>
      </w:r>
      <w:bookmarkStart w:id="0" w:name="_GoBack"/>
      <w:bookmarkEnd w:id="0"/>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0</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0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0  </w:t>
      </w:r>
      <w:r>
        <w:rPr>
          <w:rFonts w:ascii="仿宋" w:hAnsi="仿宋" w:eastAsia="仿宋"/>
          <w:color w:val="auto"/>
          <w:sz w:val="32"/>
          <w:szCs w:val="32"/>
        </w:rPr>
        <w:t>万元，主要原因是</w:t>
      </w:r>
      <w:r>
        <w:rPr>
          <w:rFonts w:hint="eastAsia" w:ascii="仿宋" w:hAnsi="仿宋" w:eastAsia="仿宋"/>
          <w:color w:val="auto"/>
          <w:sz w:val="32"/>
          <w:szCs w:val="32"/>
        </w:rPr>
        <w:t>因车改，</w:t>
      </w:r>
      <w:r>
        <w:rPr>
          <w:rFonts w:hint="eastAsia" w:ascii="仿宋" w:hAnsi="仿宋" w:eastAsia="仿宋"/>
          <w:color w:val="auto"/>
          <w:sz w:val="32"/>
          <w:szCs w:val="32"/>
          <w:u w:val="single"/>
        </w:rPr>
        <w:t xml:space="preserve"> 本单位无公车</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rPr>
        <w:t>4</w:t>
      </w:r>
      <w:r>
        <w:rPr>
          <w:rFonts w:ascii="黑体" w:hAnsi="黑体" w:eastAsia="黑体"/>
          <w:color w:val="auto"/>
          <w:sz w:val="32"/>
          <w:szCs w:val="32"/>
        </w:rPr>
        <w:t xml:space="preserve">年政府性基金预算支出情况 </w:t>
      </w:r>
    </w:p>
    <w:p>
      <w:pPr>
        <w:spacing w:before="240"/>
        <w:ind w:firstLine="643" w:firstLineChars="200"/>
        <w:rPr>
          <w:rFonts w:ascii="仿宋" w:hAnsi="仿宋" w:eastAsia="仿宋"/>
          <w:b/>
          <w:color w:val="auto"/>
          <w:sz w:val="32"/>
          <w:szCs w:val="32"/>
        </w:rPr>
      </w:pPr>
      <w:r>
        <w:rPr>
          <w:rFonts w:ascii="仿宋" w:hAnsi="仿宋" w:eastAsia="仿宋"/>
          <w:b/>
          <w:color w:val="auto"/>
          <w:sz w:val="32"/>
          <w:szCs w:val="32"/>
        </w:rPr>
        <w:t>本部门无政府性基金预算拨款</w:t>
      </w:r>
      <w:r>
        <w:rPr>
          <w:rFonts w:hint="eastAsia" w:ascii="仿宋" w:hAnsi="仿宋" w:eastAsia="仿宋"/>
          <w:b/>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rPr>
        <w:t>4</w:t>
      </w:r>
      <w:r>
        <w:rPr>
          <w:rFonts w:ascii="仿宋" w:hAnsi="仿宋" w:eastAsia="仿宋"/>
          <w:color w:val="auto"/>
          <w:sz w:val="32"/>
          <w:szCs w:val="32"/>
        </w:rPr>
        <w:t>年</w:t>
      </w:r>
      <w:r>
        <w:rPr>
          <w:rFonts w:hint="eastAsia" w:ascii="仿宋" w:hAnsi="仿宋" w:eastAsia="仿宋"/>
          <w:color w:val="auto"/>
          <w:sz w:val="32"/>
          <w:szCs w:val="32"/>
        </w:rPr>
        <w:t>本单位</w:t>
      </w:r>
      <w:r>
        <w:rPr>
          <w:rFonts w:ascii="仿宋" w:hAnsi="仿宋" w:eastAsia="仿宋"/>
          <w:color w:val="auto"/>
          <w:sz w:val="32"/>
          <w:szCs w:val="32"/>
        </w:rPr>
        <w:t>行政单位的机关运行经费财政拨款预算</w:t>
      </w:r>
      <w:r>
        <w:rPr>
          <w:rFonts w:hint="eastAsia" w:ascii="仿宋" w:hAnsi="仿宋" w:eastAsia="仿宋"/>
          <w:color w:val="auto"/>
          <w:sz w:val="32"/>
          <w:szCs w:val="32"/>
          <w:u w:val="single"/>
        </w:rPr>
        <w:t xml:space="preserve"> 339.32 </w:t>
      </w:r>
      <w:r>
        <w:rPr>
          <w:rFonts w:ascii="仿宋" w:hAnsi="仿宋" w:eastAsia="仿宋"/>
          <w:color w:val="auto"/>
          <w:sz w:val="32"/>
          <w:szCs w:val="32"/>
        </w:rPr>
        <w:t>万元，比 20</w:t>
      </w:r>
      <w:r>
        <w:rPr>
          <w:rFonts w:hint="eastAsia" w:ascii="仿宋" w:hAnsi="仿宋" w:eastAsia="仿宋"/>
          <w:color w:val="auto"/>
          <w:sz w:val="32"/>
          <w:szCs w:val="32"/>
        </w:rPr>
        <w:t>23</w:t>
      </w:r>
      <w:r>
        <w:rPr>
          <w:rFonts w:ascii="仿宋" w:hAnsi="仿宋" w:eastAsia="仿宋"/>
          <w:color w:val="auto"/>
          <w:sz w:val="32"/>
          <w:szCs w:val="32"/>
        </w:rPr>
        <w:t>年预算增加</w:t>
      </w:r>
      <w:r>
        <w:rPr>
          <w:rFonts w:hint="eastAsia" w:ascii="仿宋" w:hAnsi="仿宋" w:eastAsia="仿宋"/>
          <w:color w:val="auto"/>
          <w:sz w:val="32"/>
          <w:szCs w:val="32"/>
          <w:u w:val="single"/>
        </w:rPr>
        <w:t xml:space="preserve"> 312.6 </w:t>
      </w:r>
      <w:r>
        <w:rPr>
          <w:rFonts w:ascii="仿宋" w:hAnsi="仿宋" w:eastAsia="仿宋"/>
          <w:color w:val="auto"/>
          <w:sz w:val="32"/>
          <w:szCs w:val="32"/>
        </w:rPr>
        <w:t>万元，增长</w:t>
      </w:r>
      <w:r>
        <w:rPr>
          <w:rFonts w:hint="eastAsia" w:ascii="仿宋" w:hAnsi="仿宋" w:eastAsia="仿宋"/>
          <w:color w:val="auto"/>
          <w:sz w:val="32"/>
          <w:szCs w:val="32"/>
          <w:u w:val="single"/>
        </w:rPr>
        <w:t xml:space="preserve">   1169.91 </w:t>
      </w:r>
      <w:r>
        <w:rPr>
          <w:rFonts w:ascii="仿宋" w:hAnsi="仿宋" w:eastAsia="仿宋"/>
          <w:color w:val="auto"/>
          <w:sz w:val="32"/>
          <w:szCs w:val="32"/>
        </w:rPr>
        <w:t>%， 主要原因是</w:t>
      </w:r>
      <w:r>
        <w:rPr>
          <w:rFonts w:hint="eastAsia" w:ascii="仿宋" w:hAnsi="仿宋" w:eastAsia="仿宋"/>
          <w:color w:val="auto"/>
          <w:sz w:val="32"/>
          <w:szCs w:val="32"/>
          <w:u w:val="single"/>
        </w:rPr>
        <w:t>本单位</w:t>
      </w:r>
      <w:r>
        <w:rPr>
          <w:rFonts w:hint="eastAsia" w:ascii="仿宋" w:hAnsi="仿宋" w:eastAsia="仿宋"/>
          <w:color w:val="auto"/>
          <w:sz w:val="32"/>
          <w:szCs w:val="32"/>
        </w:rPr>
        <w:t>招商引资</w:t>
      </w:r>
      <w:r>
        <w:rPr>
          <w:rFonts w:hint="eastAsia" w:ascii="仿宋" w:hAnsi="仿宋" w:eastAsia="仿宋"/>
          <w:color w:val="auto"/>
          <w:sz w:val="32"/>
          <w:szCs w:val="32"/>
          <w:u w:val="single"/>
        </w:rPr>
        <w:t>会议费和差旅费增加</w:t>
      </w:r>
      <w:r>
        <w:rPr>
          <w:rFonts w:ascii="仿宋" w:hAnsi="仿宋" w:eastAsia="仿宋"/>
          <w:color w:val="auto"/>
          <w:sz w:val="32"/>
          <w:szCs w:val="32"/>
        </w:rPr>
        <w:t>。</w:t>
      </w:r>
    </w:p>
    <w:p>
      <w:pPr>
        <w:ind w:firstLine="640" w:firstLineChars="200"/>
        <w:rPr>
          <w:rFonts w:ascii="楷体" w:hAnsi="楷体" w:eastAsia="楷体"/>
          <w:color w:val="auto"/>
          <w:sz w:val="32"/>
          <w:szCs w:val="32"/>
        </w:rPr>
      </w:pPr>
      <w:r>
        <w:rPr>
          <w:rFonts w:ascii="楷体" w:hAnsi="楷体" w:eastAsia="楷体"/>
          <w:color w:val="auto"/>
          <w:sz w:val="32"/>
          <w:szCs w:val="32"/>
        </w:rPr>
        <w:t>（二）政府采购情况</w:t>
      </w:r>
    </w:p>
    <w:p>
      <w:pPr>
        <w:ind w:firstLine="643" w:firstLineChars="200"/>
        <w:rPr>
          <w:rFonts w:ascii="仿宋" w:hAnsi="仿宋" w:eastAsia="仿宋"/>
          <w:color w:val="auto"/>
          <w:sz w:val="32"/>
          <w:szCs w:val="32"/>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rPr>
        <w:t>。</w:t>
      </w:r>
      <w:r>
        <w:rPr>
          <w:rFonts w:ascii="仿宋" w:hAnsi="仿宋" w:eastAsia="仿宋"/>
          <w:color w:val="auto"/>
          <w:sz w:val="32"/>
          <w:szCs w:val="32"/>
        </w:rPr>
        <w:t xml:space="preserve"> </w:t>
      </w:r>
    </w:p>
    <w:p>
      <w:pPr>
        <w:ind w:firstLine="640" w:firstLineChars="200"/>
        <w:rPr>
          <w:rFonts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月底，部门本级和所属各预算单位共有车辆</w:t>
      </w:r>
      <w:r>
        <w:rPr>
          <w:rFonts w:hint="eastAsia" w:ascii="仿宋" w:hAnsi="仿宋" w:eastAsia="仿宋"/>
          <w:color w:val="auto"/>
          <w:sz w:val="32"/>
          <w:szCs w:val="32"/>
          <w:u w:val="single"/>
        </w:rPr>
        <w:t xml:space="preserve">  0  </w:t>
      </w:r>
      <w:r>
        <w:rPr>
          <w:rFonts w:ascii="仿宋" w:hAnsi="仿宋" w:eastAsia="仿宋"/>
          <w:color w:val="auto"/>
          <w:sz w:val="32"/>
          <w:szCs w:val="32"/>
        </w:rPr>
        <w:t>辆，房屋</w:t>
      </w:r>
      <w:r>
        <w:rPr>
          <w:rFonts w:hint="eastAsia" w:ascii="仿宋" w:hAnsi="仿宋" w:eastAsia="仿宋"/>
          <w:color w:val="auto"/>
          <w:sz w:val="32"/>
          <w:szCs w:val="32"/>
          <w:u w:val="single"/>
        </w:rPr>
        <w:t xml:space="preserve"> 1378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0  </w:t>
      </w:r>
      <w:r>
        <w:rPr>
          <w:rFonts w:ascii="仿宋" w:hAnsi="仿宋" w:eastAsia="仿宋"/>
          <w:color w:val="auto"/>
          <w:sz w:val="32"/>
          <w:szCs w:val="32"/>
        </w:rPr>
        <w:t>台/套，单价 100 万元及以上的专用设备实有数台/套。 202</w:t>
      </w:r>
      <w:r>
        <w:rPr>
          <w:rFonts w:hint="eastAsia" w:ascii="仿宋" w:hAnsi="仿宋" w:eastAsia="仿宋"/>
          <w:color w:val="auto"/>
          <w:sz w:val="32"/>
          <w:szCs w:val="32"/>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ascii="楷体" w:hAnsi="楷体" w:eastAsia="楷体"/>
          <w:color w:val="auto"/>
          <w:sz w:val="32"/>
          <w:szCs w:val="32"/>
        </w:rPr>
      </w:pPr>
      <w:r>
        <w:rPr>
          <w:rFonts w:ascii="楷体" w:hAnsi="楷体" w:eastAsia="楷体"/>
          <w:color w:val="auto"/>
          <w:sz w:val="32"/>
          <w:szCs w:val="32"/>
        </w:rPr>
        <w:t>（四）项目支出绩效目标情况说明</w:t>
      </w:r>
    </w:p>
    <w:p>
      <w:pPr>
        <w:ind w:firstLine="643" w:firstLineChars="200"/>
        <w:rPr>
          <w:rFonts w:ascii="仿宋" w:hAnsi="仿宋" w:eastAsia="仿宋"/>
          <w:color w:val="auto"/>
          <w:sz w:val="32"/>
          <w:szCs w:val="32"/>
        </w:rPr>
      </w:pP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rPr>
        <w:t>。</w:t>
      </w: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ascii="楷体" w:hAnsi="楷体" w:eastAsia="楷体"/>
          <w:color w:val="auto"/>
          <w:sz w:val="32"/>
          <w:szCs w:val="32"/>
        </w:rPr>
      </w:pPr>
    </w:p>
    <w:p>
      <w:pPr>
        <w:ind w:firstLine="640" w:firstLineChars="200"/>
        <w:rPr>
          <w:rFonts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VmNWExNGZhZTMwMWM5MzhiNWU5MjA1ZGJlYTg0ZDYifQ=="/>
  </w:docVars>
  <w:rsids>
    <w:rsidRoot w:val="00F56C7F"/>
    <w:rsid w:val="00071101"/>
    <w:rsid w:val="0038785D"/>
    <w:rsid w:val="003D180D"/>
    <w:rsid w:val="00416B20"/>
    <w:rsid w:val="00447A14"/>
    <w:rsid w:val="00465D1A"/>
    <w:rsid w:val="00511CA1"/>
    <w:rsid w:val="006408CA"/>
    <w:rsid w:val="006928F4"/>
    <w:rsid w:val="00772FEA"/>
    <w:rsid w:val="007F33D0"/>
    <w:rsid w:val="0083106B"/>
    <w:rsid w:val="009F541B"/>
    <w:rsid w:val="00B97DBD"/>
    <w:rsid w:val="00D00FFA"/>
    <w:rsid w:val="00D56A77"/>
    <w:rsid w:val="00D82FCF"/>
    <w:rsid w:val="00DD5110"/>
    <w:rsid w:val="00E770E8"/>
    <w:rsid w:val="00F56C7F"/>
    <w:rsid w:val="00FA5C51"/>
    <w:rsid w:val="00FC3B1B"/>
    <w:rsid w:val="144B6C0D"/>
    <w:rsid w:val="17E5678D"/>
    <w:rsid w:val="286C41F2"/>
    <w:rsid w:val="3BEA738C"/>
    <w:rsid w:val="49F37B74"/>
    <w:rsid w:val="64821A48"/>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2681</Words>
  <Characters>644</Characters>
  <Lines>5</Lines>
  <Paragraphs>6</Paragraphs>
  <TotalTime>59</TotalTime>
  <ScaleCrop>false</ScaleCrop>
  <LinksUpToDate>false</LinksUpToDate>
  <CharactersWithSpaces>3319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2024-02-04T02:12:54Z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