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center"/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公共资源交易中心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白城市公共资源交易中心。主要职责：为辖区内工程建设项目招标投标、政府采购、国有土地使用权和农村集体建设用地使用权让交易、国有产权交易等公共资源交易活动提供场所、设施服务工作；承担政府采购代理工作；建设和维护公共资源电子交易系统；负责公共资源交易数据统计分析研究工作；负责交易档案管理工作；协助有关部门建立公共资源交易信用评价体系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白城市公共资源交易中心内设9个机构，分别为办公室、信息科、采购文件编制科、货物服务项目评审科、土地使用权交易科、国有产权交易科、工程项目交易科、信用应用服务科、网站管理服务科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第二部分  2024年部门预算表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详见白城市公共资源交易中心2024年预算公开表。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numPr>
          <w:ilvl w:val="0"/>
          <w:numId w:val="1"/>
        </w:num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情况说明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按照综合预算的原则，所有收入和支出全部纳入部门预算管理。收入包括：一般公共预算拨款收入；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支出包括：一般公共服务支出、社会保障和就业支出、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、住房保障支出</w:t>
      </w:r>
      <w:r>
        <w:rPr>
          <w:rFonts w:ascii="仿宋" w:hAnsi="仿宋" w:eastAsia="仿宋"/>
          <w:sz w:val="32"/>
          <w:szCs w:val="32"/>
        </w:rPr>
        <w:t>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24.33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厉行节约，压减预算</w:t>
      </w:r>
      <w:r>
        <w:rPr>
          <w:rFonts w:ascii="仿宋" w:hAnsi="仿宋" w:eastAsia="仿宋"/>
          <w:sz w:val="32"/>
          <w:szCs w:val="32"/>
          <w:u w:val="single"/>
        </w:rPr>
        <w:t>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0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231.98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92.1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191.7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28.23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11.66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20.29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231.98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92.1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%。 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76.1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行政事业单位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人员工资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机构运行经费</w:t>
      </w:r>
      <w:r>
        <w:rPr>
          <w:rFonts w:ascii="仿宋" w:hAnsi="仿宋" w:eastAsia="仿宋"/>
          <w:sz w:val="32"/>
          <w:szCs w:val="32"/>
        </w:rPr>
        <w:t>。社会保障和就业（类）支出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28.23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11.2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人员社保。</w:t>
      </w:r>
      <w:r>
        <w:rPr>
          <w:rFonts w:ascii="仿宋" w:hAnsi="仿宋" w:eastAsia="仿宋"/>
          <w:sz w:val="32"/>
          <w:szCs w:val="32"/>
        </w:rPr>
        <w:t>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11.66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行政事业单位基本医疗保险缴费支出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ascii="仿宋" w:hAnsi="仿宋" w:eastAsia="仿宋"/>
          <w:sz w:val="32"/>
          <w:szCs w:val="32"/>
        </w:rPr>
        <w:t>住房保障（类）支出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20.29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8.1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251.88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231.98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基本工资、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津贴补贴、奖金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、机关事业单位基本养老保险缴费、职工基本医疗保险缴费、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其他社会保险缴费、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住房公积金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r>
        <w:rPr>
          <w:rFonts w:ascii="仿宋" w:hAnsi="仿宋" w:eastAsia="仿宋"/>
          <w:sz w:val="32"/>
          <w:szCs w:val="32"/>
        </w:rPr>
        <w:t>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19.9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万元，主要包括：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办公费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电费、水费、邮电费、取暖费、差旅费、劳务费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 xml:space="preserve">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0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 xml:space="preserve">。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/>
          <w:sz w:val="32"/>
          <w:szCs w:val="32"/>
          <w:u w:val="none"/>
        </w:rPr>
        <w:t xml:space="preserve"> </w:t>
      </w:r>
      <w:r>
        <w:rPr>
          <w:rFonts w:ascii="仿宋" w:hAnsi="仿宋" w:eastAsia="仿宋"/>
          <w:sz w:val="32"/>
          <w:szCs w:val="32"/>
        </w:rPr>
        <w:t>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无相关业务需要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年政府性基金预算支出情况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本部门无政府性基金预算拨款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jc w:val="left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本单位为事业单位，没有机关运行经费。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本单位无政府采购预算。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0 </w:t>
      </w:r>
      <w:r>
        <w:rPr>
          <w:rFonts w:ascii="仿宋" w:hAnsi="仿宋" w:eastAsia="仿宋"/>
          <w:sz w:val="32"/>
          <w:szCs w:val="32"/>
        </w:rPr>
        <w:t>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本年度无一级项目支出预算。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第四部分    名词解释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（一）一般公共预算拨款收入：指市级财政通过当年一般公共预算拨付的资金。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（二）基本支出：指为保障机构正常运转、完成日常工作任务而发生的人员支出和公用支出。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（三）“三公”经费：纳入财政预决算管理的“三公” 经费，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机关运行经费：为保障行政单位（包括参照公务员法管理的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E5CC2B"/>
    <w:multiLevelType w:val="singleLevel"/>
    <w:tmpl w:val="77E5CC2B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mN2Q1OTczMTUyZjhkYTNjYjgzYzIxZjkwMGEwZTA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85E53BC"/>
    <w:rsid w:val="09C000DC"/>
    <w:rsid w:val="0A391C3C"/>
    <w:rsid w:val="0BB52699"/>
    <w:rsid w:val="136C7C57"/>
    <w:rsid w:val="28DA0295"/>
    <w:rsid w:val="29171F48"/>
    <w:rsid w:val="30556F21"/>
    <w:rsid w:val="37A367C3"/>
    <w:rsid w:val="3B312AAE"/>
    <w:rsid w:val="3CFB6A54"/>
    <w:rsid w:val="457C4C62"/>
    <w:rsid w:val="47160221"/>
    <w:rsid w:val="47BF5018"/>
    <w:rsid w:val="49006CFD"/>
    <w:rsid w:val="4C657244"/>
    <w:rsid w:val="4DB50832"/>
    <w:rsid w:val="52043EAB"/>
    <w:rsid w:val="63E678B4"/>
    <w:rsid w:val="65EB2F60"/>
    <w:rsid w:val="67BC03A1"/>
    <w:rsid w:val="687E15DE"/>
    <w:rsid w:val="6949691B"/>
    <w:rsid w:val="6C3118E9"/>
    <w:rsid w:val="6EE44FE7"/>
    <w:rsid w:val="7F72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天韵</cp:lastModifiedBy>
  <cp:lastPrinted>2024-01-26T02:36:49Z</cp:lastPrinted>
  <dcterms:modified xsi:type="dcterms:W3CDTF">2024-01-26T02:37:36Z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