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center"/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大数据中心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640" w:firstLineChars="200"/>
        <w:jc w:val="both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白城市大数据中心主要负责政务云平台信息系统建设和管理、负责公共数据归集和共享共用、负责数字化产业和信息技术推进及智慧城市建设；为政务大厅提供服务保障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ind w:firstLine="640" w:firstLineChars="2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根据三定方案，本单位无内设机构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第二部分  2024年部门预算表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详见白城市大数据中心2024年预算公开表。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年收支预算总体情况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按照综合预算的原则，所有收入和支出全部纳入部门预算管理。收入包括：一般公共预算拨款收入；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支出包括：一般公共服务支出、社会保障和就业支出、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、住房保障支出</w:t>
      </w:r>
      <w:r>
        <w:rPr>
          <w:rFonts w:ascii="仿宋" w:hAnsi="仿宋" w:eastAsia="仿宋"/>
          <w:sz w:val="32"/>
          <w:szCs w:val="32"/>
        </w:rPr>
        <w:t>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320.33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万元, 比20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</w:t>
      </w:r>
      <w:r>
        <w:rPr>
          <w:rFonts w:hint="eastAsia"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23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厉行节约，压减预算</w:t>
      </w:r>
      <w:r>
        <w:rPr>
          <w:rFonts w:ascii="仿宋" w:hAnsi="仿宋" w:eastAsia="仿宋"/>
          <w:sz w:val="32"/>
          <w:szCs w:val="32"/>
          <w:u w:val="single"/>
        </w:rPr>
        <w:t>。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年收入预算情况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320.33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320.33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%；上年结转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0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320.33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事业及经营收入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年支出预算情况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年支出预算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320.33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320.33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310.43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96.9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9.9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年财政拨款收支预算情况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320.33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320.33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万元。支出包括：一般公共服务支出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239.81 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37.77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15.61 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27.14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年一般公共预算当年拨款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320.33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320.33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310.43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96.9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9.9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一般公共服务（类）支出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239.81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74.9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行政事业单位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人员工资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机构运行经费</w:t>
      </w:r>
      <w:r>
        <w:rPr>
          <w:rFonts w:ascii="仿宋" w:hAnsi="仿宋" w:eastAsia="仿宋"/>
          <w:sz w:val="32"/>
          <w:szCs w:val="32"/>
        </w:rPr>
        <w:t>。社会保障和就业（类）支出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37.77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11.8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人员社保。</w:t>
      </w:r>
      <w:r>
        <w:rPr>
          <w:rFonts w:ascii="仿宋" w:hAnsi="仿宋" w:eastAsia="仿宋"/>
          <w:sz w:val="32"/>
          <w:szCs w:val="32"/>
        </w:rPr>
        <w:t>卫生健康（类）支出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15.61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4.9</w:t>
      </w:r>
      <w:r>
        <w:rPr>
          <w:rFonts w:ascii="仿宋" w:hAnsi="仿宋" w:eastAsia="仿宋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行政事业单位基本医疗保险缴费支出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  <w:r>
        <w:rPr>
          <w:rFonts w:ascii="仿宋" w:hAnsi="仿宋" w:eastAsia="仿宋"/>
          <w:sz w:val="32"/>
          <w:szCs w:val="32"/>
        </w:rPr>
        <w:t>住房保障（类）支出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27.14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8.4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年一般公共预算基本支出情况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320.33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310.43</w:t>
      </w:r>
      <w:r>
        <w:rPr>
          <w:rFonts w:ascii="仿宋" w:hAnsi="仿宋" w:eastAsia="仿宋"/>
          <w:sz w:val="32"/>
          <w:szCs w:val="32"/>
        </w:rPr>
        <w:t>万元，主要包括：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基本工资、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津贴补贴、奖金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、机关事业单位基本养老保险缴费、职工基本医疗保险缴费、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其他社会保险缴费、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住房公积金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  <w:r>
        <w:rPr>
          <w:rFonts w:ascii="仿宋" w:hAnsi="仿宋" w:eastAsia="仿宋"/>
          <w:sz w:val="32"/>
          <w:szCs w:val="32"/>
        </w:rPr>
        <w:t>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9.9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万元，主要包括：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办公费。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七、202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年一般公共预算财政拨款“三公”经费情况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年“三公”经费预算数为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 xml:space="preserve"> 年预算数减少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比</w:t>
      </w:r>
      <w:r>
        <w:rPr>
          <w:rFonts w:ascii="仿宋" w:hAnsi="仿宋" w:eastAsia="仿宋"/>
          <w:sz w:val="32"/>
          <w:szCs w:val="32"/>
        </w:rPr>
        <w:t xml:space="preserve">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0 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 xml:space="preserve">。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无相关业务需要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2.公务接待费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无相关业务需要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ascii="仿宋" w:hAnsi="仿宋" w:eastAsia="仿宋"/>
          <w:sz w:val="32"/>
          <w:szCs w:val="32"/>
          <w:u w:val="none"/>
        </w:rPr>
        <w:t xml:space="preserve"> </w:t>
      </w:r>
      <w:r>
        <w:rPr>
          <w:rFonts w:ascii="仿宋" w:hAnsi="仿宋" w:eastAsia="仿宋"/>
          <w:sz w:val="32"/>
          <w:szCs w:val="32"/>
        </w:rPr>
        <w:t>3.公务用车购置及运行费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其中，公务用车运行维护费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无相关业务需要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八、202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年政府性基金预算支出情况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本部门无政府性基金预算拨款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九、其他重要事项的说明情况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（一）机关运行经费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本单位为事业单位，没有机关运行经费。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（二）政府采购情况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本单位无政府采购预算。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（三）国有资产占有使用情况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截至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 xml:space="preserve"> 年</w:t>
      </w: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ascii="仿宋" w:hAnsi="仿宋" w:eastAsia="仿宋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辆，房屋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平方米，单价 50 万元及以上的通用设备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台/套，单价 100 万元及以上的专用设备实有数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0 </w:t>
      </w:r>
      <w:r>
        <w:rPr>
          <w:rFonts w:ascii="仿宋" w:hAnsi="仿宋" w:eastAsia="仿宋"/>
          <w:sz w:val="32"/>
          <w:szCs w:val="32"/>
        </w:rPr>
        <w:t>台/套。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年部门预算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没有安排</w:t>
      </w:r>
      <w:r>
        <w:rPr>
          <w:rFonts w:ascii="仿宋" w:hAnsi="仿宋" w:eastAsia="仿宋"/>
          <w:sz w:val="32"/>
          <w:szCs w:val="32"/>
        </w:rPr>
        <w:t xml:space="preserve">购置车辆、土地、房屋、单价 50 万元及以上的通用设备和单价 100 万元及以上的专用设备。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（四）项目支出绩效目标情况说明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本年度无一级项目支出预算。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第四部分    名词解释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（一）一般公共预算拨款收入：指市级财政通过当年一般公共预算拨付的资金。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（二）基本支出：指为保障机构正常运转、完成日常工作任务而发生的人员支出和公用支出。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（三）“三公”经费：纳入财政预决算管理的“三公” 经费，是指部门用财政拨款安排的因公出国（境）费、公务用车购置及运行费和公务接待费。其中，因公出国（境）费反映单位公务出国（境）费的国际旅游、国外城市间交通费、住宿费、伙食费、培训费、公杂费等支出；公务用车购置及运行费反映单位公务用车车辆购置支出（含车辆购置税）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机关运行经费：为保障行政单位（包括参照公务员法管理的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E5CC2B"/>
    <w:multiLevelType w:val="singleLevel"/>
    <w:tmpl w:val="77E5CC2B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mN2Q1OTczMTUyZjhkYTNjYjgzYzIxZjkwMGEwZTA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2F2197A"/>
    <w:rsid w:val="03AC3305"/>
    <w:rsid w:val="0A391C3C"/>
    <w:rsid w:val="136C7C57"/>
    <w:rsid w:val="288B7059"/>
    <w:rsid w:val="28DA0295"/>
    <w:rsid w:val="29171F48"/>
    <w:rsid w:val="2DB22C9D"/>
    <w:rsid w:val="30556F21"/>
    <w:rsid w:val="3B312AAE"/>
    <w:rsid w:val="3C5926CB"/>
    <w:rsid w:val="3CA37266"/>
    <w:rsid w:val="3CFB6A54"/>
    <w:rsid w:val="46414163"/>
    <w:rsid w:val="47160221"/>
    <w:rsid w:val="49006CFD"/>
    <w:rsid w:val="4C657244"/>
    <w:rsid w:val="4DB50832"/>
    <w:rsid w:val="529671F9"/>
    <w:rsid w:val="53B536AF"/>
    <w:rsid w:val="54292ED5"/>
    <w:rsid w:val="5CD31049"/>
    <w:rsid w:val="5EA104AD"/>
    <w:rsid w:val="63E678B4"/>
    <w:rsid w:val="65EB2F60"/>
    <w:rsid w:val="67BC03A1"/>
    <w:rsid w:val="6949691B"/>
    <w:rsid w:val="6C0F7E35"/>
    <w:rsid w:val="6EE44FE7"/>
    <w:rsid w:val="7DA56991"/>
    <w:rsid w:val="7F72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天韵</cp:lastModifiedBy>
  <cp:lastPrinted>2024-01-26T02:38:14Z</cp:lastPrinted>
  <dcterms:modified xsi:type="dcterms:W3CDTF">2024-01-26T02:38:17Z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