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一、202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>年收支预算总体情况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年收支总预算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 </w:t>
      </w:r>
      <w:r>
        <w:rPr>
          <w:rFonts w:ascii="仿宋" w:hAnsi="仿宋" w:eastAsia="仿宋"/>
          <w:color w:val="auto"/>
          <w:sz w:val="32"/>
          <w:szCs w:val="32"/>
        </w:rPr>
        <w:t>万元, 比20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>年预算增加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0.74</w:t>
      </w:r>
      <w:r>
        <w:rPr>
          <w:rFonts w:ascii="仿宋" w:hAnsi="仿宋" w:eastAsia="仿宋"/>
          <w:color w:val="auto"/>
          <w:sz w:val="32"/>
          <w:szCs w:val="32"/>
        </w:rPr>
        <w:t>万元，主要原因是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人员经费有所增加</w:t>
      </w:r>
      <w:r>
        <w:rPr>
          <w:rFonts w:ascii="仿宋" w:hAnsi="仿宋" w:eastAsia="仿宋"/>
          <w:color w:val="auto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二、202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年收入预算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万元，其中：本年收入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%；上年结转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%；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%；其他收入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年支出预算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万元，其中：基本支出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%；项目支出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137.61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95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%；公用经费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7.9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年财政拨款收支总预算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万元。支出包括：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农林水</w:t>
      </w:r>
      <w:r>
        <w:rPr>
          <w:rFonts w:ascii="仿宋" w:hAnsi="仿宋" w:eastAsia="仿宋"/>
          <w:color w:val="auto"/>
          <w:sz w:val="32"/>
          <w:szCs w:val="32"/>
        </w:rPr>
        <w:t>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110.9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16.59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万元，卫生健康支出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6.5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万元，住房保障支出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11.52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黑体" w:hAnsi="黑体" w:eastAsia="黑体"/>
          <w:color w:val="auto"/>
          <w:sz w:val="32"/>
          <w:szCs w:val="32"/>
        </w:rPr>
        <w:t>五、202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万元，其中：基本支出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%；项目支出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137.61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95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%；公用经费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7.9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 xml:space="preserve">%。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农林水</w:t>
      </w:r>
      <w:r>
        <w:rPr>
          <w:rFonts w:ascii="仿宋" w:hAnsi="仿宋" w:eastAsia="仿宋"/>
          <w:color w:val="auto"/>
          <w:sz w:val="32"/>
          <w:szCs w:val="32"/>
        </w:rPr>
        <w:t>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110.9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76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%，主要用于行政事业单位人员工资、机构运行经费及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农业农村事务等</w:t>
      </w:r>
      <w:r>
        <w:rPr>
          <w:rFonts w:ascii="仿宋" w:hAnsi="仿宋" w:eastAsia="仿宋"/>
          <w:color w:val="auto"/>
          <w:sz w:val="32"/>
          <w:szCs w:val="32"/>
        </w:rPr>
        <w:t>支出。 社会保障和就业（类）支出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16.59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%，主要用于行政事业单位离退休人员经费支出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及社保支出</w:t>
      </w:r>
      <w:r>
        <w:rPr>
          <w:rFonts w:ascii="仿宋" w:hAnsi="仿宋" w:eastAsia="仿宋"/>
          <w:color w:val="auto"/>
          <w:sz w:val="32"/>
          <w:szCs w:val="32"/>
        </w:rPr>
        <w:t>。 卫生健康（类）支出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6.5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%，主要用于行政事业单位基本医疗保险缴费支出。住房保障（类）支出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11.52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145.51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万元，其中</w:t>
      </w:r>
      <w:r>
        <w:rPr>
          <w:rFonts w:hint="eastAsia" w:ascii="仿宋" w:hAnsi="仿宋" w:eastAsia="仿宋"/>
          <w:color w:val="auto"/>
          <w:sz w:val="32"/>
          <w:szCs w:val="32"/>
        </w:rPr>
        <w:t>:</w:t>
      </w:r>
      <w:r>
        <w:rPr>
          <w:rFonts w:ascii="仿宋" w:hAnsi="仿宋" w:eastAsia="仿宋"/>
          <w:color w:val="auto"/>
          <w:sz w:val="32"/>
          <w:szCs w:val="32"/>
        </w:rPr>
        <w:t>人员经费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137.61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万元，主要包括：基本工资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59.54万元、</w:t>
      </w:r>
      <w:r>
        <w:rPr>
          <w:rFonts w:ascii="仿宋" w:hAnsi="仿宋" w:eastAsia="仿宋"/>
          <w:color w:val="auto"/>
          <w:sz w:val="32"/>
          <w:szCs w:val="32"/>
        </w:rPr>
        <w:t>津贴补贴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38.5万元</w:t>
      </w:r>
      <w:r>
        <w:rPr>
          <w:rFonts w:ascii="仿宋" w:hAnsi="仿宋" w:eastAsia="仿宋"/>
          <w:color w:val="auto"/>
          <w:sz w:val="32"/>
          <w:szCs w:val="32"/>
        </w:rPr>
        <w:t>、奖金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4.96万元</w:t>
      </w:r>
      <w:r>
        <w:rPr>
          <w:rFonts w:ascii="仿宋" w:hAnsi="仿宋" w:eastAsia="仿宋"/>
          <w:color w:val="auto"/>
          <w:sz w:val="32"/>
          <w:szCs w:val="32"/>
        </w:rPr>
        <w:t>、机关事业单位基本养老保险缴费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15.36万元</w:t>
      </w:r>
      <w:r>
        <w:rPr>
          <w:rFonts w:ascii="仿宋" w:hAnsi="仿宋" w:eastAsia="仿宋"/>
          <w:color w:val="auto"/>
          <w:sz w:val="32"/>
          <w:szCs w:val="32"/>
        </w:rPr>
        <w:t>、职工基本医疗保险缴费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6.5万元</w:t>
      </w:r>
      <w:r>
        <w:rPr>
          <w:rFonts w:ascii="仿宋" w:hAnsi="仿宋" w:eastAsia="仿宋"/>
          <w:color w:val="auto"/>
          <w:sz w:val="32"/>
          <w:szCs w:val="32"/>
        </w:rPr>
        <w:t>、其他社会保障缴费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1.23万元</w:t>
      </w:r>
      <w:r>
        <w:rPr>
          <w:rFonts w:ascii="仿宋" w:hAnsi="仿宋" w:eastAsia="仿宋"/>
          <w:color w:val="auto"/>
          <w:sz w:val="32"/>
          <w:szCs w:val="32"/>
        </w:rPr>
        <w:t>、住房公积金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11.52万元</w:t>
      </w:r>
      <w:r>
        <w:rPr>
          <w:rFonts w:ascii="仿宋" w:hAnsi="仿宋" w:eastAsia="仿宋"/>
          <w:color w:val="auto"/>
          <w:sz w:val="32"/>
          <w:szCs w:val="32"/>
        </w:rPr>
        <w:t>。公用经费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7.9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万元，主要包括：办公费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0.86万元</w:t>
      </w:r>
      <w:r>
        <w:rPr>
          <w:rFonts w:ascii="仿宋" w:hAnsi="仿宋" w:eastAsia="仿宋"/>
          <w:color w:val="auto"/>
          <w:sz w:val="32"/>
          <w:szCs w:val="32"/>
        </w:rPr>
        <w:t>、咨询费、水费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0.05万元</w:t>
      </w:r>
      <w:r>
        <w:rPr>
          <w:rFonts w:ascii="仿宋" w:hAnsi="仿宋" w:eastAsia="仿宋"/>
          <w:color w:val="auto"/>
          <w:sz w:val="32"/>
          <w:szCs w:val="32"/>
        </w:rPr>
        <w:t>、电费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0.15万元</w:t>
      </w:r>
      <w:r>
        <w:rPr>
          <w:rFonts w:ascii="仿宋" w:hAnsi="仿宋" w:eastAsia="仿宋"/>
          <w:color w:val="auto"/>
          <w:sz w:val="32"/>
          <w:szCs w:val="32"/>
        </w:rPr>
        <w:t>、邮电费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0.24万元</w:t>
      </w:r>
      <w:r>
        <w:rPr>
          <w:rFonts w:ascii="仿宋" w:hAnsi="仿宋" w:eastAsia="仿宋"/>
          <w:color w:val="auto"/>
          <w:sz w:val="32"/>
          <w:szCs w:val="32"/>
        </w:rPr>
        <w:t>、取暖费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2.6万元</w:t>
      </w:r>
      <w:r>
        <w:rPr>
          <w:rFonts w:ascii="仿宋" w:hAnsi="仿宋" w:eastAsia="仿宋"/>
          <w:color w:val="auto"/>
          <w:sz w:val="32"/>
          <w:szCs w:val="32"/>
        </w:rPr>
        <w:t>、差旅费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2万元</w:t>
      </w:r>
      <w:r>
        <w:rPr>
          <w:rFonts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其他交通费用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2万元。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黑体" w:hAnsi="黑体" w:eastAsia="黑体"/>
          <w:color w:val="auto"/>
          <w:sz w:val="32"/>
          <w:szCs w:val="32"/>
        </w:rPr>
        <w:t>七、202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color w:val="auto"/>
          <w:sz w:val="32"/>
          <w:szCs w:val="32"/>
        </w:rPr>
        <w:t xml:space="preserve">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增加（或减少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</w:rPr>
        <w:t>万元</w:t>
      </w:r>
      <w:r>
        <w:rPr>
          <w:rFonts w:ascii="仿宋" w:hAnsi="仿宋" w:eastAsia="仿宋"/>
          <w:color w:val="auto"/>
          <w:sz w:val="32"/>
          <w:szCs w:val="32"/>
        </w:rPr>
        <w:t>。 2.公务接待费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>年预</w:t>
      </w:r>
      <w:bookmarkStart w:id="0" w:name="_GoBack"/>
      <w:bookmarkEnd w:id="0"/>
      <w:r>
        <w:rPr>
          <w:rFonts w:ascii="仿宋" w:hAnsi="仿宋" w:eastAsia="仿宋"/>
          <w:color w:val="auto"/>
          <w:sz w:val="32"/>
          <w:szCs w:val="32"/>
        </w:rPr>
        <w:t>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auto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ascii="仿宋" w:hAnsi="仿宋" w:eastAsia="仿宋"/>
          <w:color w:val="auto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万元，比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>年预算数</w:t>
      </w:r>
      <w:r>
        <w:rPr>
          <w:rFonts w:hint="eastAsia" w:ascii="仿宋" w:hAnsi="仿宋" w:eastAsia="仿宋"/>
          <w:color w:val="auto"/>
          <w:sz w:val="32"/>
          <w:szCs w:val="32"/>
        </w:rPr>
        <w:t>增加（或</w:t>
      </w:r>
      <w:r>
        <w:rPr>
          <w:rFonts w:ascii="仿宋" w:hAnsi="仿宋" w:eastAsia="仿宋"/>
          <w:color w:val="auto"/>
          <w:sz w:val="32"/>
          <w:szCs w:val="32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万元，主要原因是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eastAsia="zh-CN"/>
        </w:rPr>
        <w:t>本单位无三公经费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黑体" w:hAnsi="黑体" w:eastAsia="黑体"/>
          <w:color w:val="auto"/>
          <w:sz w:val="32"/>
          <w:szCs w:val="32"/>
        </w:rPr>
        <w:t>八、202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color w:val="auto"/>
          <w:sz w:val="32"/>
          <w:szCs w:val="32"/>
        </w:rPr>
        <w:t xml:space="preserve">年政府性基金预算支出情况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本部门无政府性基金预算拨款</w:t>
      </w:r>
    </w:p>
    <w:p>
      <w:pPr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（一）机关运行经费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本部门为事业单位，没有机关运行经费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本部门无政府采购预算 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color w:val="auto"/>
          <w:sz w:val="32"/>
          <w:szCs w:val="32"/>
        </w:rPr>
        <w:t xml:space="preserve"> 年</w:t>
      </w:r>
      <w:r>
        <w:rPr>
          <w:rFonts w:hint="eastAsia" w:ascii="仿宋" w:hAnsi="仿宋" w:eastAsia="仿宋"/>
          <w:color w:val="auto"/>
          <w:sz w:val="32"/>
          <w:szCs w:val="32"/>
        </w:rPr>
        <w:t>12</w:t>
      </w:r>
      <w:r>
        <w:rPr>
          <w:rFonts w:ascii="仿宋" w:hAnsi="仿宋" w:eastAsia="仿宋"/>
          <w:color w:val="auto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t>辆，房屋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264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color w:val="auto"/>
          <w:sz w:val="32"/>
          <w:szCs w:val="32"/>
        </w:rPr>
        <w:t>台/套，单价 100 万元及以上的专用设备实有数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ascii="仿宋" w:hAnsi="仿宋" w:eastAsia="仿宋"/>
          <w:color w:val="auto"/>
          <w:sz w:val="32"/>
          <w:szCs w:val="32"/>
        </w:rPr>
        <w:t>台/套。 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auto"/>
          <w:sz w:val="32"/>
          <w:szCs w:val="32"/>
        </w:rPr>
        <w:t>年部门预算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没有安排</w:t>
      </w:r>
      <w:r>
        <w:rPr>
          <w:rFonts w:ascii="仿宋" w:hAnsi="仿宋" w:eastAsia="仿宋"/>
          <w:color w:val="auto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本年度无一级项目支出预算</w:t>
      </w:r>
    </w:p>
    <w:p>
      <w:pPr>
        <w:ind w:firstLine="643" w:firstLineChars="200"/>
        <w:rPr>
          <w:rFonts w:hint="eastAsia" w:ascii="仿宋" w:hAnsi="仿宋" w:eastAsia="仿宋"/>
          <w:b/>
          <w:color w:val="auto"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color w:val="auto"/>
          <w:sz w:val="32"/>
          <w:szCs w:val="32"/>
        </w:rPr>
      </w:pPr>
    </w:p>
    <w:p>
      <w:pPr>
        <w:jc w:val="both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（一）一般公共预算拨款收入</w:t>
      </w:r>
      <w:r>
        <w:rPr>
          <w:rFonts w:ascii="仿宋" w:hAnsi="仿宋" w:eastAsia="仿宋"/>
          <w:color w:val="auto"/>
          <w:sz w:val="32"/>
          <w:szCs w:val="32"/>
        </w:rPr>
        <w:t>：指</w:t>
      </w:r>
      <w:r>
        <w:rPr>
          <w:rFonts w:hint="eastAsia" w:ascii="仿宋" w:hAnsi="仿宋" w:eastAsia="仿宋"/>
          <w:color w:val="auto"/>
          <w:sz w:val="32"/>
          <w:szCs w:val="32"/>
        </w:rPr>
        <w:t>市</w:t>
      </w:r>
      <w:r>
        <w:rPr>
          <w:rFonts w:ascii="仿宋" w:hAnsi="仿宋" w:eastAsia="仿宋"/>
          <w:color w:val="auto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（二）政府性基金预算拨款收入</w:t>
      </w:r>
      <w:r>
        <w:rPr>
          <w:rFonts w:ascii="仿宋" w:hAnsi="仿宋" w:eastAsia="仿宋"/>
          <w:color w:val="auto"/>
          <w:sz w:val="32"/>
          <w:szCs w:val="32"/>
        </w:rPr>
        <w:t>：指</w:t>
      </w:r>
      <w:r>
        <w:rPr>
          <w:rFonts w:hint="eastAsia" w:ascii="仿宋" w:hAnsi="仿宋" w:eastAsia="仿宋"/>
          <w:color w:val="auto"/>
          <w:sz w:val="32"/>
          <w:szCs w:val="32"/>
        </w:rPr>
        <w:t>市</w:t>
      </w:r>
      <w:r>
        <w:rPr>
          <w:rFonts w:ascii="仿宋" w:hAnsi="仿宋" w:eastAsia="仿宋"/>
          <w:color w:val="auto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三</w:t>
      </w:r>
      <w:r>
        <w:rPr>
          <w:rFonts w:ascii="楷体" w:hAnsi="楷体" w:eastAsia="楷体"/>
          <w:color w:val="auto"/>
          <w:sz w:val="32"/>
          <w:szCs w:val="32"/>
        </w:rPr>
        <w:t>）其他收入</w:t>
      </w:r>
      <w:r>
        <w:rPr>
          <w:rFonts w:ascii="仿宋" w:hAnsi="仿宋" w:eastAsia="仿宋"/>
          <w:color w:val="auto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四</w:t>
      </w:r>
      <w:r>
        <w:rPr>
          <w:rFonts w:ascii="楷体" w:hAnsi="楷体" w:eastAsia="楷体"/>
          <w:color w:val="auto"/>
          <w:sz w:val="32"/>
          <w:szCs w:val="32"/>
        </w:rPr>
        <w:t>）上级补助收入</w:t>
      </w:r>
      <w:r>
        <w:rPr>
          <w:rFonts w:ascii="仿宋" w:hAnsi="仿宋" w:eastAsia="仿宋"/>
          <w:color w:val="auto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五</w:t>
      </w:r>
      <w:r>
        <w:rPr>
          <w:rFonts w:ascii="楷体" w:hAnsi="楷体" w:eastAsia="楷体"/>
          <w:color w:val="auto"/>
          <w:sz w:val="32"/>
          <w:szCs w:val="32"/>
        </w:rPr>
        <w:t>）基本支出</w:t>
      </w:r>
      <w:r>
        <w:rPr>
          <w:rFonts w:ascii="仿宋" w:hAnsi="仿宋" w:eastAsia="仿宋"/>
          <w:color w:val="auto"/>
          <w:sz w:val="32"/>
          <w:szCs w:val="32"/>
        </w:rPr>
        <w:t xml:space="preserve">：指为保障机构正常运转、完成日常工作任务而发生的人员支出和公用支出。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六</w:t>
      </w:r>
      <w:r>
        <w:rPr>
          <w:rFonts w:ascii="楷体" w:hAnsi="楷体" w:eastAsia="楷体"/>
          <w:color w:val="auto"/>
          <w:sz w:val="32"/>
          <w:szCs w:val="32"/>
        </w:rPr>
        <w:t>）项目支出</w:t>
      </w:r>
      <w:r>
        <w:rPr>
          <w:rFonts w:ascii="仿宋" w:hAnsi="仿宋" w:eastAsia="仿宋"/>
          <w:color w:val="auto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七</w:t>
      </w:r>
      <w:r>
        <w:rPr>
          <w:rFonts w:ascii="楷体" w:hAnsi="楷体" w:eastAsia="楷体"/>
          <w:color w:val="auto"/>
          <w:sz w:val="32"/>
          <w:szCs w:val="32"/>
        </w:rPr>
        <w:t>）“三公”经费</w:t>
      </w:r>
      <w:r>
        <w:rPr>
          <w:rFonts w:ascii="仿宋" w:hAnsi="仿宋" w:eastAsia="仿宋"/>
          <w:color w:val="auto"/>
          <w:sz w:val="32"/>
          <w:szCs w:val="32"/>
        </w:rPr>
        <w:t xml:space="preserve">：纳入财政预决算管理的“三公”经费， 是指部门用财政拨款安排的因公出国（境）费、公务用车购置及运行费和公务接待费。其中，因公出国（境）费反映单位公务出国（境）费的国际旅游、国外城市间交通费、住宿费、伙食费、培训费、公杂费等支出；公务用车购置及运行费反映单位公务用车车辆购置支出（含车辆购置税）及租用费、燃料费、维修费、过路过桥费、保险费、安全奖励费用等支出；公务接待费反映单位按规定开支的各类公务接待（含外宾接待）支出。 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八</w:t>
      </w:r>
      <w:r>
        <w:rPr>
          <w:rFonts w:ascii="楷体" w:hAnsi="楷体" w:eastAsia="楷体"/>
          <w:color w:val="auto"/>
          <w:sz w:val="32"/>
          <w:szCs w:val="32"/>
        </w:rPr>
        <w:t>）项目支出绩效目标</w:t>
      </w:r>
      <w:r>
        <w:rPr>
          <w:rFonts w:ascii="仿宋" w:hAnsi="仿宋" w:eastAsia="仿宋"/>
          <w:color w:val="auto"/>
          <w:sz w:val="32"/>
          <w:szCs w:val="32"/>
        </w:rPr>
        <w:t>：项目支出绩效目标是指部门 预算安排的项目支出在一定期限内预期达到的产出和效果。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WExNGZhZTMwMWM5MzhiNWU5MjA1ZGJlYTg0ZDY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0E9D0AED"/>
    <w:rsid w:val="0FAE2480"/>
    <w:rsid w:val="120C2234"/>
    <w:rsid w:val="144B6C0D"/>
    <w:rsid w:val="14811CCA"/>
    <w:rsid w:val="1746740D"/>
    <w:rsid w:val="17E5678D"/>
    <w:rsid w:val="25206941"/>
    <w:rsid w:val="286C41F2"/>
    <w:rsid w:val="2E7C4576"/>
    <w:rsid w:val="3A9E5BE9"/>
    <w:rsid w:val="3BEA738C"/>
    <w:rsid w:val="49F37B74"/>
    <w:rsid w:val="4C5E4F57"/>
    <w:rsid w:val="5F290943"/>
    <w:rsid w:val="6D9D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3022</Words>
  <Characters>3116</Characters>
  <Lines>25</Lines>
  <Paragraphs>7</Paragraphs>
  <TotalTime>19</TotalTime>
  <ScaleCrop>false</ScaleCrop>
  <LinksUpToDate>false</LinksUpToDate>
  <CharactersWithSpaces>3532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局部地区有特大暴雨</cp:lastModifiedBy>
  <cp:lastPrinted>2022-08-12T00:52:00Z</cp:lastPrinted>
  <dcterms:modified xsi:type="dcterms:W3CDTF">2024-02-04T01:46:50Z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CBBE71DA11D241AC950E3D247CEBD5C2</vt:lpwstr>
  </property>
</Properties>
</file>