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default" w:asciiTheme="majorEastAsia" w:hAnsiTheme="majorEastAsia" w:eastAsiaTheme="majorEastAsia"/>
          <w:b/>
          <w:sz w:val="52"/>
          <w:szCs w:val="52"/>
          <w:u w:val="single"/>
          <w:lang w:val="en-US" w:eastAsia="zh-CN"/>
        </w:rPr>
      </w:pPr>
      <w:r>
        <w:rPr>
          <w:rFonts w:hint="eastAsia" w:asciiTheme="majorEastAsia" w:hAnsiTheme="majorEastAsia" w:eastAsiaTheme="majorEastAsia"/>
          <w:b/>
          <w:sz w:val="48"/>
          <w:szCs w:val="48"/>
          <w:u w:val="single"/>
        </w:rPr>
        <w:t>白城市</w:t>
      </w:r>
      <w:r>
        <w:rPr>
          <w:rFonts w:hint="eastAsia" w:asciiTheme="majorEastAsia" w:hAnsiTheme="majorEastAsia" w:eastAsiaTheme="majorEastAsia"/>
          <w:b/>
          <w:sz w:val="48"/>
          <w:szCs w:val="48"/>
          <w:u w:val="single"/>
          <w:lang w:val="en-US" w:eastAsia="zh-CN"/>
        </w:rPr>
        <w:t>农业环境保护与农村能源管理站</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both"/>
        <w:rPr>
          <w:rFonts w:ascii="黑体" w:hAnsi="黑体" w:eastAsia="黑体"/>
          <w:sz w:val="32"/>
          <w:szCs w:val="32"/>
        </w:rPr>
      </w:pPr>
    </w:p>
    <w:p>
      <w:pPr>
        <w:jc w:val="both"/>
        <w:rPr>
          <w:rFonts w:ascii="黑体" w:hAnsi="黑体" w:eastAsia="黑体"/>
          <w:sz w:val="32"/>
          <w:szCs w:val="32"/>
        </w:rPr>
      </w:pPr>
    </w:p>
    <w:p>
      <w:pPr>
        <w:jc w:val="both"/>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白城市农业环境保护与农村能源管理站为农村能源及农村社会事业发展提供服务。负责生态农业、基本农田、无公害农业生产基地的环境监测；负责农村可再生资源技术示范推广工作、为农村社会事业发展提供服务保障；负责全市有机食品、绿色食品、无公害农产品的开发宣传和业务培训 技术咨询、为全市有机食品、绿色食品、无公害农产品配送 产品销售等提供服务。</w:t>
      </w:r>
    </w:p>
    <w:p>
      <w:pPr>
        <w:numPr>
          <w:ilvl w:val="0"/>
          <w:numId w:val="1"/>
        </w:numPr>
        <w:ind w:firstLine="320" w:firstLineChars="100"/>
        <w:jc w:val="left"/>
        <w:rPr>
          <w:rFonts w:ascii="楷体_GB2312" w:hAnsi="黑体" w:eastAsia="楷体_GB2312"/>
          <w:sz w:val="32"/>
          <w:szCs w:val="32"/>
        </w:rPr>
      </w:pPr>
      <w:r>
        <w:rPr>
          <w:rFonts w:hint="eastAsia" w:ascii="楷体_GB2312" w:hAnsi="黑体" w:eastAsia="楷体_GB2312"/>
          <w:sz w:val="32"/>
          <w:szCs w:val="32"/>
        </w:rPr>
        <w:t>机构设置</w:t>
      </w:r>
    </w:p>
    <w:p>
      <w:pPr>
        <w:jc w:val="left"/>
        <w:rPr>
          <w:rFonts w:hint="eastAsia" w:ascii="楷体_GB2312" w:hAnsi="黑体" w:eastAsia="楷体_GB2312"/>
          <w:sz w:val="32"/>
          <w:szCs w:val="32"/>
        </w:rPr>
      </w:pPr>
      <w:r>
        <w:rPr>
          <w:rFonts w:hint="eastAsia" w:ascii="楷体_GB2312" w:hAnsi="黑体" w:eastAsia="楷体_GB2312"/>
          <w:sz w:val="32"/>
          <w:szCs w:val="32"/>
        </w:rPr>
        <w:t xml:space="preserve">  根据单位三定方案文件，我站无内设机构。</w:t>
      </w:r>
    </w:p>
    <w:p>
      <w:pPr>
        <w:rPr>
          <w:rFonts w:hint="eastAsia" w:ascii="楷体_GB2312" w:hAnsi="黑体" w:eastAsia="楷体_GB2312"/>
          <w:sz w:val="32"/>
          <w:szCs w:val="32"/>
        </w:rPr>
      </w:pPr>
      <w:r>
        <w:rPr>
          <w:rFonts w:hint="eastAsia" w:ascii="楷体_GB2312" w:hAnsi="黑体" w:eastAsia="楷体_GB2312"/>
          <w:sz w:val="32"/>
          <w:szCs w:val="32"/>
        </w:rPr>
        <w:br w:type="page"/>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一、收支预算表</w:t>
      </w:r>
    </w:p>
    <w:p>
      <w:pPr>
        <w:rPr>
          <w:rFonts w:hint="eastAsia" w:ascii="仿宋_GB2312" w:hAnsi="黑体" w:eastAsia="仿宋_GB2312"/>
          <w:sz w:val="32"/>
          <w:szCs w:val="32"/>
        </w:rPr>
      </w:pPr>
      <w:r>
        <w:rPr>
          <w:rFonts w:hint="eastAsia" w:ascii="仿宋_GB2312" w:hAnsi="黑体" w:eastAsia="仿宋_GB2312"/>
          <w:sz w:val="32"/>
          <w:szCs w:val="32"/>
        </w:rPr>
        <w:drawing>
          <wp:inline distT="0" distB="0" distL="114300" distR="114300">
            <wp:extent cx="5274310" cy="6095365"/>
            <wp:effectExtent l="0" t="0" r="0"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srcRect t="7906"/>
                    <a:stretch>
                      <a:fillRect/>
                    </a:stretch>
                  </pic:blipFill>
                  <pic:spPr>
                    <a:xfrm>
                      <a:off x="0" y="0"/>
                      <a:ext cx="5274310" cy="6095365"/>
                    </a:xfrm>
                    <a:prstGeom prst="rect">
                      <a:avLst/>
                    </a:prstGeom>
                  </pic:spPr>
                </pic:pic>
              </a:graphicData>
            </a:graphic>
          </wp:inline>
        </w:drawing>
      </w:r>
      <w:r>
        <w:rPr>
          <w:rFonts w:hint="eastAsia" w:ascii="仿宋_GB2312" w:hAnsi="黑体" w:eastAsia="仿宋_GB2312"/>
          <w:sz w:val="32"/>
          <w:szCs w:val="32"/>
        </w:rPr>
        <w:br w:type="page"/>
      </w: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收入预算表</w:t>
      </w:r>
    </w:p>
    <w:p>
      <w:pPr>
        <w:rPr>
          <w:rFonts w:hint="eastAsia" w:ascii="仿宋_GB2312" w:hAnsi="黑体" w:eastAsia="仿宋_GB2312"/>
          <w:sz w:val="32"/>
          <w:szCs w:val="32"/>
        </w:rPr>
      </w:pPr>
      <w:r>
        <w:rPr>
          <w:rFonts w:hint="eastAsia" w:ascii="仿宋_GB2312" w:hAnsi="黑体" w:eastAsia="仿宋_GB2312"/>
          <w:sz w:val="32"/>
          <w:szCs w:val="32"/>
        </w:rPr>
        <w:drawing>
          <wp:inline distT="0" distB="0" distL="114300" distR="114300">
            <wp:extent cx="5272405" cy="7641590"/>
            <wp:effectExtent l="0" t="0" r="4445" b="16510"/>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1"/>
                    </pic:cNvPicPr>
                  </pic:nvPicPr>
                  <pic:blipFill>
                    <a:blip r:embed="rId5"/>
                    <a:stretch>
                      <a:fillRect/>
                    </a:stretch>
                  </pic:blipFill>
                  <pic:spPr>
                    <a:xfrm>
                      <a:off x="0" y="0"/>
                      <a:ext cx="5272405" cy="7641590"/>
                    </a:xfrm>
                    <a:prstGeom prst="rect">
                      <a:avLst/>
                    </a:prstGeom>
                  </pic:spPr>
                </pic:pic>
              </a:graphicData>
            </a:graphic>
          </wp:inline>
        </w:drawing>
      </w:r>
      <w:r>
        <w:rPr>
          <w:rFonts w:hint="eastAsia" w:ascii="仿宋_GB2312" w:hAnsi="黑体" w:eastAsia="仿宋_GB2312"/>
          <w:sz w:val="32"/>
          <w:szCs w:val="32"/>
        </w:rPr>
        <w:br w:type="page"/>
      </w: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支出预算表</w:t>
      </w:r>
    </w:p>
    <w:p>
      <w:pPr>
        <w:numPr>
          <w:ilvl w:val="0"/>
          <w:numId w:val="0"/>
        </w:numPr>
        <w:ind w:leftChars="1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drawing>
          <wp:inline distT="0" distB="0" distL="114300" distR="114300">
            <wp:extent cx="5196840" cy="7007225"/>
            <wp:effectExtent l="0" t="0" r="3810" b="3175"/>
            <wp:docPr id="3"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
                    <pic:cNvPicPr>
                      <a:picLocks noChangeAspect="1"/>
                    </pic:cNvPicPr>
                  </pic:nvPicPr>
                  <pic:blipFill>
                    <a:blip r:embed="rId6"/>
                    <a:stretch>
                      <a:fillRect/>
                    </a:stretch>
                  </pic:blipFill>
                  <pic:spPr>
                    <a:xfrm>
                      <a:off x="0" y="0"/>
                      <a:ext cx="5196840" cy="7007225"/>
                    </a:xfrm>
                    <a:prstGeom prst="rect">
                      <a:avLst/>
                    </a:prstGeom>
                  </pic:spPr>
                </pic:pic>
              </a:graphicData>
            </a:graphic>
          </wp:inline>
        </w:drawing>
      </w:r>
    </w:p>
    <w:p>
      <w:pPr>
        <w:numPr>
          <w:ilvl w:val="0"/>
          <w:numId w:val="0"/>
        </w:numPr>
        <w:ind w:leftChars="100"/>
        <w:jc w:val="left"/>
        <w:rPr>
          <w:rFonts w:hint="eastAsia" w:ascii="仿宋_GB2312" w:hAnsi="黑体" w:eastAsia="仿宋_GB2312"/>
          <w:sz w:val="32"/>
          <w:szCs w:val="32"/>
          <w:lang w:eastAsia="zh-CN"/>
        </w:rPr>
      </w:pPr>
    </w:p>
    <w:p>
      <w:pPr>
        <w:numPr>
          <w:ilvl w:val="0"/>
          <w:numId w:val="0"/>
        </w:numPr>
        <w:ind w:leftChars="100"/>
        <w:jc w:val="left"/>
        <w:rPr>
          <w:rFonts w:hint="eastAsia" w:ascii="仿宋_GB2312" w:hAnsi="黑体" w:eastAsia="仿宋_GB2312"/>
          <w:sz w:val="32"/>
          <w:szCs w:val="32"/>
          <w:lang w:eastAsia="zh-CN"/>
        </w:rPr>
      </w:pPr>
    </w:p>
    <w:p>
      <w:pPr>
        <w:numPr>
          <w:ilvl w:val="0"/>
          <w:numId w:val="0"/>
        </w:numPr>
        <w:ind w:leftChars="100"/>
        <w:jc w:val="left"/>
        <w:rPr>
          <w:rFonts w:hint="eastAsia" w:ascii="仿宋_GB2312" w:hAnsi="黑体" w:eastAsia="仿宋_GB2312"/>
          <w:sz w:val="32"/>
          <w:szCs w:val="32"/>
          <w:lang w:eastAsia="zh-CN"/>
        </w:rPr>
      </w:pPr>
    </w:p>
    <w:p>
      <w:pPr>
        <w:numPr>
          <w:ilvl w:val="0"/>
          <w:numId w:val="0"/>
        </w:numPr>
        <w:ind w:leftChars="100"/>
        <w:jc w:val="left"/>
        <w:rPr>
          <w:rFonts w:hint="eastAsia" w:ascii="仿宋_GB2312" w:hAnsi="黑体" w:eastAsia="仿宋_GB2312"/>
          <w:sz w:val="32"/>
          <w:szCs w:val="32"/>
          <w:lang w:eastAsia="zh-CN"/>
        </w:rPr>
      </w:pP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财政拨款收支预算表</w:t>
      </w:r>
    </w:p>
    <w:p>
      <w:pPr>
        <w:numPr>
          <w:ilvl w:val="0"/>
          <w:numId w:val="0"/>
        </w:numPr>
        <w:ind w:leftChars="1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drawing>
          <wp:inline distT="0" distB="0" distL="114300" distR="114300">
            <wp:extent cx="5184140" cy="7245350"/>
            <wp:effectExtent l="0" t="0" r="16510" b="12700"/>
            <wp:docPr id="4" name="图片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
                    <pic:cNvPicPr>
                      <a:picLocks noChangeAspect="1"/>
                    </pic:cNvPicPr>
                  </pic:nvPicPr>
                  <pic:blipFill>
                    <a:blip r:embed="rId7"/>
                    <a:stretch>
                      <a:fillRect/>
                    </a:stretch>
                  </pic:blipFill>
                  <pic:spPr>
                    <a:xfrm>
                      <a:off x="0" y="0"/>
                      <a:ext cx="5184140" cy="7245350"/>
                    </a:xfrm>
                    <a:prstGeom prst="rect">
                      <a:avLst/>
                    </a:prstGeom>
                  </pic:spPr>
                </pic:pic>
              </a:graphicData>
            </a:graphic>
          </wp:inline>
        </w:drawing>
      </w:r>
    </w:p>
    <w:p>
      <w:pPr>
        <w:rPr>
          <w:rFonts w:hint="eastAsia" w:ascii="仿宋_GB2312" w:hAnsi="黑体" w:eastAsia="仿宋_GB2312"/>
          <w:sz w:val="32"/>
          <w:szCs w:val="32"/>
        </w:rPr>
      </w:pPr>
      <w:r>
        <w:rPr>
          <w:rFonts w:hint="eastAsia" w:ascii="仿宋_GB2312" w:hAnsi="黑体" w:eastAsia="仿宋_GB2312"/>
          <w:sz w:val="32"/>
          <w:szCs w:val="32"/>
        </w:rPr>
        <w:br w:type="page"/>
      </w: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一般公共预算财政拨款功能分类支出预算表</w:t>
      </w:r>
    </w:p>
    <w:p>
      <w:pPr>
        <w:numPr>
          <w:ilvl w:val="0"/>
          <w:numId w:val="0"/>
        </w:numPr>
        <w:ind w:leftChars="1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drawing>
          <wp:inline distT="0" distB="0" distL="114300" distR="114300">
            <wp:extent cx="5172075" cy="6848475"/>
            <wp:effectExtent l="0" t="0" r="9525" b="9525"/>
            <wp:docPr id="5" name="图片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
                    <pic:cNvPicPr>
                      <a:picLocks noChangeAspect="1"/>
                    </pic:cNvPicPr>
                  </pic:nvPicPr>
                  <pic:blipFill>
                    <a:blip r:embed="rId8"/>
                    <a:stretch>
                      <a:fillRect/>
                    </a:stretch>
                  </pic:blipFill>
                  <pic:spPr>
                    <a:xfrm>
                      <a:off x="0" y="0"/>
                      <a:ext cx="5172075" cy="6848475"/>
                    </a:xfrm>
                    <a:prstGeom prst="rect">
                      <a:avLst/>
                    </a:prstGeom>
                  </pic:spPr>
                </pic:pic>
              </a:graphicData>
            </a:graphic>
          </wp:inline>
        </w:drawing>
      </w:r>
    </w:p>
    <w:p>
      <w:pPr>
        <w:rPr>
          <w:rFonts w:hint="eastAsia" w:ascii="仿宋_GB2312" w:hAnsi="黑体" w:eastAsia="仿宋_GB2312"/>
          <w:sz w:val="32"/>
          <w:szCs w:val="32"/>
        </w:rPr>
      </w:pPr>
      <w:r>
        <w:rPr>
          <w:rFonts w:hint="eastAsia" w:ascii="仿宋_GB2312" w:hAnsi="黑体" w:eastAsia="仿宋_GB2312"/>
          <w:sz w:val="32"/>
          <w:szCs w:val="32"/>
        </w:rPr>
        <w:br w:type="page"/>
      </w: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一般公共预算财政拨款经济分类支出预算表</w:t>
      </w:r>
    </w:p>
    <w:p>
      <w:pPr>
        <w:numPr>
          <w:ilvl w:val="0"/>
          <w:numId w:val="0"/>
        </w:numPr>
        <w:ind w:leftChars="1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drawing>
          <wp:inline distT="0" distB="0" distL="114300" distR="114300">
            <wp:extent cx="5724525" cy="7974330"/>
            <wp:effectExtent l="0" t="0" r="9525" b="7620"/>
            <wp:docPr id="6" name="图片 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
                    <pic:cNvPicPr>
                      <a:picLocks noChangeAspect="1"/>
                    </pic:cNvPicPr>
                  </pic:nvPicPr>
                  <pic:blipFill>
                    <a:blip r:embed="rId9"/>
                    <a:stretch>
                      <a:fillRect/>
                    </a:stretch>
                  </pic:blipFill>
                  <pic:spPr>
                    <a:xfrm>
                      <a:off x="0" y="0"/>
                      <a:ext cx="5724525" cy="7974330"/>
                    </a:xfrm>
                    <a:prstGeom prst="rect">
                      <a:avLst/>
                    </a:prstGeom>
                  </pic:spPr>
                </pic:pic>
              </a:graphicData>
            </a:graphic>
          </wp:inline>
        </w:drawing>
      </w:r>
    </w:p>
    <w:p>
      <w:pPr>
        <w:ind w:firstLine="320" w:firstLineChars="100"/>
        <w:jc w:val="left"/>
        <w:rPr>
          <w:rFonts w:hint="eastAsia" w:ascii="仿宋_GB2312" w:hAnsi="黑体" w:eastAsia="仿宋_GB2312"/>
          <w:sz w:val="32"/>
          <w:szCs w:val="32"/>
        </w:rPr>
      </w:pP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一般公共预算财政拨款“三公”经费支出预算表</w:t>
      </w:r>
    </w:p>
    <w:p>
      <w:pPr>
        <w:numPr>
          <w:ilvl w:val="0"/>
          <w:numId w:val="0"/>
        </w:numPr>
        <w:ind w:leftChars="1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drawing>
          <wp:inline distT="0" distB="0" distL="114300" distR="114300">
            <wp:extent cx="5273040" cy="3977640"/>
            <wp:effectExtent l="0" t="0" r="3810" b="3810"/>
            <wp:docPr id="7" name="图片 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
                    <pic:cNvPicPr>
                      <a:picLocks noChangeAspect="1"/>
                    </pic:cNvPicPr>
                  </pic:nvPicPr>
                  <pic:blipFill>
                    <a:blip r:embed="rId10"/>
                    <a:stretch>
                      <a:fillRect/>
                    </a:stretch>
                  </pic:blipFill>
                  <pic:spPr>
                    <a:xfrm>
                      <a:off x="0" y="0"/>
                      <a:ext cx="5273040" cy="3977640"/>
                    </a:xfrm>
                    <a:prstGeom prst="rect">
                      <a:avLst/>
                    </a:prstGeom>
                  </pic:spPr>
                </pic:pic>
              </a:graphicData>
            </a:graphic>
          </wp:inline>
        </w:drawing>
      </w: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政府性基金预算财政拨款支出预算表</w:t>
      </w:r>
    </w:p>
    <w:p>
      <w:pPr>
        <w:numPr>
          <w:ilvl w:val="0"/>
          <w:numId w:val="0"/>
        </w:numPr>
        <w:ind w:leftChars="1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drawing>
          <wp:inline distT="0" distB="0" distL="114300" distR="114300">
            <wp:extent cx="5267325" cy="3811270"/>
            <wp:effectExtent l="0" t="0" r="9525" b="17780"/>
            <wp:docPr id="8" name="图片 8"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8"/>
                    <pic:cNvPicPr>
                      <a:picLocks noChangeAspect="1"/>
                    </pic:cNvPicPr>
                  </pic:nvPicPr>
                  <pic:blipFill>
                    <a:blip r:embed="rId11"/>
                    <a:stretch>
                      <a:fillRect/>
                    </a:stretch>
                  </pic:blipFill>
                  <pic:spPr>
                    <a:xfrm>
                      <a:off x="0" y="0"/>
                      <a:ext cx="5267325" cy="3811270"/>
                    </a:xfrm>
                    <a:prstGeom prst="rect">
                      <a:avLst/>
                    </a:prstGeom>
                  </pic:spPr>
                </pic:pic>
              </a:graphicData>
            </a:graphic>
          </wp:inline>
        </w:drawing>
      </w:r>
    </w:p>
    <w:p>
      <w:pPr>
        <w:numPr>
          <w:ilvl w:val="0"/>
          <w:numId w:val="1"/>
        </w:numPr>
        <w:ind w:left="0" w:leftChars="0"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国有资本经营预算支出表</w:t>
      </w:r>
    </w:p>
    <w:p>
      <w:pPr>
        <w:numPr>
          <w:ilvl w:val="0"/>
          <w:numId w:val="0"/>
        </w:numPr>
        <w:ind w:leftChars="1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drawing>
          <wp:inline distT="0" distB="0" distL="114300" distR="114300">
            <wp:extent cx="5140960" cy="3104515"/>
            <wp:effectExtent l="0" t="0" r="2540" b="635"/>
            <wp:docPr id="9" name="图片 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9"/>
                    <pic:cNvPicPr>
                      <a:picLocks noChangeAspect="1"/>
                    </pic:cNvPicPr>
                  </pic:nvPicPr>
                  <pic:blipFill>
                    <a:blip r:embed="rId12"/>
                    <a:stretch>
                      <a:fillRect/>
                    </a:stretch>
                  </pic:blipFill>
                  <pic:spPr>
                    <a:xfrm>
                      <a:off x="0" y="0"/>
                      <a:ext cx="5140960" cy="3104515"/>
                    </a:xfrm>
                    <a:prstGeom prst="rect">
                      <a:avLst/>
                    </a:prstGeom>
                  </pic:spPr>
                </pic:pic>
              </a:graphicData>
            </a:graphic>
          </wp:inline>
        </w:drawing>
      </w:r>
    </w:p>
    <w:p>
      <w:pPr>
        <w:rPr>
          <w:rFonts w:hint="eastAsia" w:ascii="仿宋_GB2312" w:hAnsi="黑体" w:eastAsia="仿宋_GB2312"/>
          <w:sz w:val="32"/>
          <w:szCs w:val="32"/>
          <w:lang w:eastAsia="zh-CN"/>
        </w:rPr>
      </w:pPr>
      <w:r>
        <w:rPr>
          <w:rFonts w:hint="eastAsia" w:ascii="仿宋_GB2312" w:hAnsi="黑体" w:eastAsia="仿宋_GB2312"/>
          <w:sz w:val="32"/>
          <w:szCs w:val="32"/>
          <w:lang w:eastAsia="zh-CN"/>
        </w:rPr>
        <w:br w:type="page"/>
      </w:r>
    </w:p>
    <w:p>
      <w:pPr>
        <w:numPr>
          <w:ilvl w:val="0"/>
          <w:numId w:val="1"/>
        </w:numPr>
        <w:ind w:left="0" w:leftChars="0" w:firstLine="320" w:firstLineChars="1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项目支出表</w:t>
      </w:r>
    </w:p>
    <w:p>
      <w:pPr>
        <w:widowControl w:val="0"/>
        <w:numPr>
          <w:ilvl w:val="0"/>
          <w:numId w:val="0"/>
        </w:numPr>
        <w:jc w:val="left"/>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 xml:space="preserve">  </w:t>
      </w:r>
      <w:r>
        <w:rPr>
          <w:rFonts w:hint="default" w:ascii="仿宋_GB2312" w:hAnsi="黑体" w:eastAsia="仿宋_GB2312"/>
          <w:sz w:val="32"/>
          <w:szCs w:val="32"/>
          <w:lang w:val="en-US" w:eastAsia="zh-CN"/>
        </w:rPr>
        <w:drawing>
          <wp:inline distT="0" distB="0" distL="114300" distR="114300">
            <wp:extent cx="5050155" cy="7192010"/>
            <wp:effectExtent l="0" t="0" r="17145" b="8890"/>
            <wp:docPr id="10" name="图片 10"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0"/>
                    <pic:cNvPicPr>
                      <a:picLocks noChangeAspect="1"/>
                    </pic:cNvPicPr>
                  </pic:nvPicPr>
                  <pic:blipFill>
                    <a:blip r:embed="rId13"/>
                    <a:stretch>
                      <a:fillRect/>
                    </a:stretch>
                  </pic:blipFill>
                  <pic:spPr>
                    <a:xfrm>
                      <a:off x="0" y="0"/>
                      <a:ext cx="5050155" cy="7192010"/>
                    </a:xfrm>
                    <a:prstGeom prst="rect">
                      <a:avLst/>
                    </a:prstGeom>
                  </pic:spPr>
                </pic:pic>
              </a:graphicData>
            </a:graphic>
          </wp:inline>
        </w:drawing>
      </w:r>
    </w:p>
    <w:p>
      <w:pPr>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 xml:space="preserve">  </w:t>
      </w:r>
    </w:p>
    <w:p>
      <w:pPr>
        <w:jc w:val="left"/>
        <w:rPr>
          <w:rFonts w:hint="eastAsia" w:ascii="仿宋_GB2312" w:hAnsi="黑体" w:eastAsia="仿宋_GB2312"/>
          <w:sz w:val="32"/>
          <w:szCs w:val="32"/>
          <w:lang w:val="en-US" w:eastAsia="zh-CN"/>
        </w:rPr>
      </w:pPr>
    </w:p>
    <w:p>
      <w:pPr>
        <w:jc w:val="left"/>
        <w:rPr>
          <w:rFonts w:hint="eastAsia" w:ascii="仿宋_GB2312" w:hAnsi="黑体" w:eastAsia="仿宋_GB2312"/>
          <w:sz w:val="32"/>
          <w:szCs w:val="32"/>
          <w:lang w:val="en-US" w:eastAsia="zh-CN"/>
        </w:rPr>
      </w:pPr>
    </w:p>
    <w:p>
      <w:pPr>
        <w:jc w:val="left"/>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十一、项目支出绩效目标表</w:t>
      </w:r>
    </w:p>
    <w:p>
      <w:pPr>
        <w:rPr>
          <w:rFonts w:ascii="黑体" w:hAnsi="黑体" w:eastAsia="黑体"/>
          <w:sz w:val="32"/>
          <w:szCs w:val="32"/>
        </w:rPr>
      </w:pPr>
      <w:r>
        <w:rPr>
          <w:rFonts w:ascii="黑体" w:hAnsi="黑体" w:eastAsia="黑体"/>
          <w:sz w:val="32"/>
          <w:szCs w:val="32"/>
        </w:rPr>
        <w:drawing>
          <wp:inline distT="0" distB="0" distL="114300" distR="114300">
            <wp:extent cx="5271135" cy="7297420"/>
            <wp:effectExtent l="0" t="0" r="5715" b="17780"/>
            <wp:docPr id="11" name="图片 1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1"/>
                    <pic:cNvPicPr>
                      <a:picLocks noChangeAspect="1"/>
                    </pic:cNvPicPr>
                  </pic:nvPicPr>
                  <pic:blipFill>
                    <a:blip r:embed="rId14"/>
                    <a:stretch>
                      <a:fillRect/>
                    </a:stretch>
                  </pic:blipFill>
                  <pic:spPr>
                    <a:xfrm>
                      <a:off x="0" y="0"/>
                      <a:ext cx="5271135" cy="7297420"/>
                    </a:xfrm>
                    <a:prstGeom prst="rect">
                      <a:avLst/>
                    </a:prstGeom>
                  </pic:spPr>
                </pic:pic>
              </a:graphicData>
            </a:graphic>
          </wp:inline>
        </w:drawing>
      </w:r>
      <w:r>
        <w:rPr>
          <w:rFonts w:ascii="黑体" w:hAnsi="黑体" w:eastAsia="黑体"/>
          <w:sz w:val="32"/>
          <w:szCs w:val="32"/>
        </w:rPr>
        <w:br w:type="page"/>
      </w: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80.96</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eastAsia="zh-CN"/>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2.95</w:t>
      </w:r>
      <w:r>
        <w:rPr>
          <w:rFonts w:ascii="仿宋" w:hAnsi="仿宋" w:eastAsia="仿宋"/>
          <w:sz w:val="32"/>
          <w:szCs w:val="32"/>
        </w:rPr>
        <w:t>万元，主要原因是</w:t>
      </w:r>
      <w:r>
        <w:rPr>
          <w:rFonts w:hint="eastAsia" w:ascii="仿宋" w:hAnsi="仿宋" w:eastAsia="仿宋"/>
          <w:sz w:val="32"/>
          <w:szCs w:val="32"/>
          <w:lang w:eastAsia="zh-CN"/>
        </w:rPr>
        <w:t>人员经费增加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80.96</w:t>
      </w:r>
      <w:r>
        <w:rPr>
          <w:rFonts w:ascii="仿宋" w:hAnsi="仿宋" w:eastAsia="仿宋"/>
          <w:sz w:val="32"/>
          <w:szCs w:val="32"/>
        </w:rPr>
        <w:t>万元，其中：本年收入</w:t>
      </w:r>
      <w:r>
        <w:rPr>
          <w:rFonts w:hint="eastAsia" w:ascii="仿宋" w:hAnsi="仿宋" w:eastAsia="仿宋"/>
          <w:sz w:val="32"/>
          <w:szCs w:val="32"/>
          <w:u w:val="single"/>
          <w:lang w:val="en-US" w:eastAsia="zh-CN"/>
        </w:rPr>
        <w:t>80.96</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72.16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89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农林水</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62.5</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8.88</w:t>
      </w:r>
      <w:r>
        <w:rPr>
          <w:rFonts w:ascii="仿宋" w:hAnsi="仿宋" w:eastAsia="仿宋"/>
          <w:sz w:val="32"/>
          <w:szCs w:val="32"/>
        </w:rPr>
        <w:t>万元，卫生健康支出</w:t>
      </w:r>
      <w:r>
        <w:rPr>
          <w:rFonts w:hint="eastAsia" w:ascii="仿宋" w:hAnsi="仿宋" w:eastAsia="仿宋"/>
          <w:sz w:val="32"/>
          <w:szCs w:val="32"/>
          <w:u w:val="single"/>
          <w:lang w:val="en-US" w:eastAsia="zh-CN"/>
        </w:rPr>
        <w:t>3.38</w:t>
      </w:r>
      <w:r>
        <w:rPr>
          <w:rFonts w:ascii="仿宋" w:hAnsi="仿宋" w:eastAsia="仿宋"/>
          <w:sz w:val="32"/>
          <w:szCs w:val="32"/>
        </w:rPr>
        <w:t>万元，住房保障支出</w:t>
      </w:r>
      <w:r>
        <w:rPr>
          <w:rFonts w:hint="eastAsia" w:ascii="仿宋" w:hAnsi="仿宋" w:eastAsia="仿宋"/>
          <w:sz w:val="32"/>
          <w:szCs w:val="32"/>
          <w:u w:val="single"/>
          <w:lang w:val="en-US" w:eastAsia="zh-CN"/>
        </w:rPr>
        <w:t>6.19</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72.16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eastAsia="zh-CN"/>
        </w:rPr>
        <w:t>农林水</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62.5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农业农村</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w:t>
      </w:r>
      <w:r>
        <w:rPr>
          <w:rFonts w:hint="eastAsia" w:ascii="仿宋" w:hAnsi="仿宋" w:eastAsia="仿宋"/>
          <w:sz w:val="32"/>
          <w:szCs w:val="32"/>
          <w:lang w:eastAsia="zh-CN"/>
        </w:rPr>
        <w:t>及社保支出</w:t>
      </w:r>
      <w:r>
        <w:rPr>
          <w:rFonts w:ascii="仿宋" w:hAnsi="仿宋" w:eastAsia="仿宋"/>
          <w:sz w:val="32"/>
          <w:szCs w:val="32"/>
        </w:rPr>
        <w:t>。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80.96</w:t>
      </w:r>
      <w:bookmarkStart w:id="0" w:name="_GoBack"/>
      <w:bookmarkEnd w:id="0"/>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80.96</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30.59</w:t>
      </w:r>
      <w:r>
        <w:rPr>
          <w:rFonts w:ascii="仿宋" w:hAnsi="仿宋" w:eastAsia="仿宋"/>
          <w:sz w:val="32"/>
          <w:szCs w:val="32"/>
        </w:rPr>
        <w:t>万元、津贴补贴</w:t>
      </w:r>
      <w:r>
        <w:rPr>
          <w:rFonts w:hint="eastAsia" w:ascii="仿宋" w:hAnsi="仿宋" w:eastAsia="仿宋"/>
          <w:sz w:val="32"/>
          <w:szCs w:val="32"/>
          <w:lang w:val="en-US" w:eastAsia="zh-CN"/>
        </w:rPr>
        <w:t>20.56</w:t>
      </w:r>
      <w:r>
        <w:rPr>
          <w:rFonts w:ascii="仿宋" w:hAnsi="仿宋" w:eastAsia="仿宋"/>
          <w:sz w:val="32"/>
          <w:szCs w:val="32"/>
        </w:rPr>
        <w:t>万元、奖金</w:t>
      </w:r>
      <w:r>
        <w:rPr>
          <w:rFonts w:hint="eastAsia" w:ascii="仿宋" w:hAnsi="仿宋" w:eastAsia="仿宋"/>
          <w:sz w:val="32"/>
          <w:szCs w:val="32"/>
          <w:lang w:val="en-US" w:eastAsia="zh-CN"/>
        </w:rPr>
        <w:t>2.55</w:t>
      </w:r>
      <w:r>
        <w:rPr>
          <w:rFonts w:ascii="仿宋" w:hAnsi="仿宋" w:eastAsia="仿宋"/>
          <w:sz w:val="32"/>
          <w:szCs w:val="32"/>
        </w:rPr>
        <w:t>万元、机关事业单位基本养老保险缴费</w:t>
      </w:r>
      <w:r>
        <w:rPr>
          <w:rFonts w:hint="eastAsia" w:ascii="仿宋" w:hAnsi="仿宋" w:eastAsia="仿宋"/>
          <w:sz w:val="32"/>
          <w:szCs w:val="32"/>
          <w:lang w:val="en-US" w:eastAsia="zh-CN"/>
        </w:rPr>
        <w:t>8.25</w:t>
      </w:r>
      <w:r>
        <w:rPr>
          <w:rFonts w:ascii="仿宋" w:hAnsi="仿宋" w:eastAsia="仿宋"/>
          <w:sz w:val="32"/>
          <w:szCs w:val="32"/>
        </w:rPr>
        <w:t>万元、职工基本 医疗保险缴费</w:t>
      </w:r>
      <w:r>
        <w:rPr>
          <w:rFonts w:hint="eastAsia" w:ascii="仿宋" w:hAnsi="仿宋" w:eastAsia="仿宋"/>
          <w:sz w:val="32"/>
          <w:szCs w:val="32"/>
          <w:lang w:val="en-US" w:eastAsia="zh-CN"/>
        </w:rPr>
        <w:t>3.39</w:t>
      </w:r>
      <w:r>
        <w:rPr>
          <w:rFonts w:ascii="仿宋" w:hAnsi="仿宋" w:eastAsia="仿宋"/>
          <w:sz w:val="32"/>
          <w:szCs w:val="32"/>
        </w:rPr>
        <w:t>万元、其他社会保障缴费</w:t>
      </w:r>
      <w:r>
        <w:rPr>
          <w:rFonts w:hint="eastAsia" w:ascii="仿宋" w:hAnsi="仿宋" w:eastAsia="仿宋"/>
          <w:sz w:val="32"/>
          <w:szCs w:val="32"/>
          <w:lang w:val="en-US" w:eastAsia="zh-CN"/>
        </w:rPr>
        <w:t>0.63</w:t>
      </w:r>
      <w:r>
        <w:rPr>
          <w:rFonts w:ascii="仿宋" w:hAnsi="仿宋" w:eastAsia="仿宋"/>
          <w:sz w:val="32"/>
          <w:szCs w:val="32"/>
        </w:rPr>
        <w:t>万元、住房公积金</w:t>
      </w:r>
      <w:r>
        <w:rPr>
          <w:rFonts w:hint="eastAsia" w:ascii="仿宋" w:hAnsi="仿宋" w:eastAsia="仿宋"/>
          <w:sz w:val="32"/>
          <w:szCs w:val="32"/>
          <w:lang w:val="en-US" w:eastAsia="zh-CN"/>
        </w:rPr>
        <w:t>6.19</w:t>
      </w:r>
      <w:r>
        <w:rPr>
          <w:rFonts w:ascii="仿宋" w:hAnsi="仿宋" w:eastAsia="仿宋"/>
          <w:sz w:val="32"/>
          <w:szCs w:val="32"/>
        </w:rPr>
        <w:t>万元。公用经费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0.9</w:t>
      </w:r>
      <w:r>
        <w:rPr>
          <w:rFonts w:ascii="仿宋" w:hAnsi="仿宋" w:eastAsia="仿宋"/>
          <w:sz w:val="32"/>
          <w:szCs w:val="32"/>
        </w:rPr>
        <w:t>万元、</w:t>
      </w:r>
      <w:r>
        <w:rPr>
          <w:rFonts w:hint="eastAsia" w:ascii="仿宋" w:hAnsi="仿宋" w:eastAsia="仿宋"/>
          <w:sz w:val="32"/>
          <w:szCs w:val="32"/>
          <w:lang w:eastAsia="zh-CN"/>
        </w:rPr>
        <w:t>邮电费</w:t>
      </w:r>
      <w:r>
        <w:rPr>
          <w:rFonts w:hint="eastAsia" w:ascii="仿宋" w:hAnsi="仿宋" w:eastAsia="仿宋"/>
          <w:sz w:val="32"/>
          <w:szCs w:val="32"/>
          <w:lang w:val="en-US" w:eastAsia="zh-CN"/>
        </w:rPr>
        <w:t>0.1万元、</w:t>
      </w:r>
      <w:r>
        <w:rPr>
          <w:rFonts w:ascii="仿宋" w:hAnsi="仿宋" w:eastAsia="仿宋"/>
          <w:sz w:val="32"/>
          <w:szCs w:val="32"/>
        </w:rPr>
        <w:t>取暖费</w:t>
      </w:r>
      <w:r>
        <w:rPr>
          <w:rFonts w:hint="eastAsia" w:ascii="仿宋" w:hAnsi="仿宋" w:eastAsia="仿宋"/>
          <w:sz w:val="32"/>
          <w:szCs w:val="32"/>
          <w:lang w:val="en-US" w:eastAsia="zh-CN"/>
        </w:rPr>
        <w:t>2</w:t>
      </w:r>
      <w:r>
        <w:rPr>
          <w:rFonts w:ascii="仿宋" w:hAnsi="仿宋" w:eastAsia="仿宋"/>
          <w:sz w:val="32"/>
          <w:szCs w:val="32"/>
        </w:rPr>
        <w:t>万元、差旅费</w:t>
      </w:r>
      <w:r>
        <w:rPr>
          <w:rFonts w:hint="eastAsia" w:ascii="仿宋" w:hAnsi="仿宋" w:eastAsia="仿宋"/>
          <w:sz w:val="32"/>
          <w:szCs w:val="32"/>
          <w:lang w:val="en-US" w:eastAsia="zh-CN"/>
        </w:rPr>
        <w:t>3</w:t>
      </w:r>
      <w:r>
        <w:rPr>
          <w:rFonts w:ascii="仿宋" w:hAnsi="仿宋" w:eastAsia="仿宋"/>
          <w:sz w:val="32"/>
          <w:szCs w:val="32"/>
        </w:rPr>
        <w:t>万元、其他交通费用</w:t>
      </w:r>
      <w:r>
        <w:rPr>
          <w:rFonts w:hint="eastAsia" w:ascii="仿宋" w:hAnsi="仿宋" w:eastAsia="仿宋"/>
          <w:sz w:val="32"/>
          <w:szCs w:val="32"/>
          <w:lang w:val="en-US" w:eastAsia="zh-CN"/>
        </w:rPr>
        <w:t>2.8</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u w:val="single"/>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我单位无“三公”经费预算</w:t>
      </w:r>
      <w:r>
        <w:rPr>
          <w:rFonts w:ascii="仿宋" w:hAnsi="仿宋" w:eastAsia="仿宋"/>
          <w:sz w:val="32"/>
          <w:szCs w:val="32"/>
          <w:u w:val="single"/>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0" w:firstLineChars="200"/>
        <w:rPr>
          <w:rFonts w:hint="eastAsia" w:ascii="仿宋" w:hAnsi="仿宋" w:eastAsia="仿宋"/>
          <w:sz w:val="32"/>
          <w:szCs w:val="32"/>
        </w:rPr>
      </w:pPr>
      <w:r>
        <w:rPr>
          <w:rFonts w:ascii="仿宋" w:hAnsi="仿宋" w:eastAsia="仿宋"/>
          <w:sz w:val="32"/>
          <w:szCs w:val="32"/>
        </w:rPr>
        <w:t>本部门无政府性基金预算拨款</w:t>
      </w:r>
      <w:r>
        <w:rPr>
          <w:rFonts w:hint="eastAsia"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本部门为事业单位，没有机关运行经费</w:t>
      </w:r>
      <w:r>
        <w:rPr>
          <w:rFonts w:hint="eastAsia" w:ascii="仿宋" w:hAnsi="仿宋" w:eastAsia="仿宋"/>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本部门无政府采购预算</w:t>
      </w:r>
      <w:r>
        <w:rPr>
          <w:rFonts w:hint="eastAsia" w:ascii="仿宋" w:hAnsi="仿宋" w:eastAsia="仿宋"/>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3792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预算</w:t>
      </w:r>
      <w:r>
        <w:rPr>
          <w:rFonts w:hint="eastAsia" w:ascii="仿宋" w:hAnsi="仿宋" w:eastAsia="仿宋"/>
          <w:sz w:val="32"/>
          <w:szCs w:val="32"/>
          <w:lang w:eastAsia="zh-CN"/>
        </w:rPr>
        <w:t>。</w:t>
      </w:r>
      <w:r>
        <w:rPr>
          <w:rFonts w:ascii="仿宋" w:hAnsi="仿宋" w:eastAsia="仿宋"/>
          <w:sz w:val="32"/>
          <w:szCs w:val="32"/>
        </w:rPr>
        <w:t xml:space="preserve"> </w:t>
      </w: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5"/>
        <w:jc w:val="left"/>
        <w:rPr>
          <w:rFonts w:ascii="仿宋_GB2312" w:hAnsi="黑体" w:eastAsia="仿宋_GB2312"/>
          <w:sz w:val="32"/>
          <w:szCs w:val="32"/>
        </w:rPr>
      </w:pP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7FD2A2"/>
    <w:multiLevelType w:val="singleLevel"/>
    <w:tmpl w:val="407FD2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193222DF"/>
    <w:rsid w:val="29171F48"/>
    <w:rsid w:val="29AB2E31"/>
    <w:rsid w:val="30436B12"/>
    <w:rsid w:val="3CFB6A54"/>
    <w:rsid w:val="433C6394"/>
    <w:rsid w:val="47160221"/>
    <w:rsid w:val="4DEB3DA2"/>
    <w:rsid w:val="57C13205"/>
    <w:rsid w:val="67BC03A1"/>
    <w:rsid w:val="74AA2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406</Words>
  <Characters>409</Characters>
  <Lines>2</Lines>
  <Paragraphs>1</Paragraphs>
  <TotalTime>3</TotalTime>
  <ScaleCrop>false</ScaleCrop>
  <LinksUpToDate>false</LinksUpToDate>
  <CharactersWithSpaces>435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局部地区有特大暴雨</cp:lastModifiedBy>
  <cp:lastPrinted>2018-03-19T09:33:00Z</cp:lastPrinted>
  <dcterms:modified xsi:type="dcterms:W3CDTF">2024-02-04T01:44:33Z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A469F1FD498A45BFAA39B08299F92BC6</vt:lpwstr>
  </property>
</Properties>
</file>