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widowControl/>
        <w:jc w:val="center"/>
        <w:rPr>
          <w:u w:val="single"/>
        </w:rPr>
      </w:pPr>
      <w:r>
        <w:rPr>
          <w:rFonts w:ascii="黑体" w:hAnsi="宋体" w:eastAsia="黑体" w:cs="黑体"/>
          <w:color w:val="000000"/>
          <w:kern w:val="0"/>
          <w:sz w:val="43"/>
          <w:szCs w:val="43"/>
          <w:u w:val="single"/>
          <w:lang w:bidi="ar"/>
        </w:rPr>
        <w:t>白城市墙材革新与建筑节能办公室</w:t>
      </w:r>
    </w:p>
    <w:p>
      <w:pPr>
        <w:ind w:firstLine="860" w:firstLineChars="200"/>
        <w:jc w:val="center"/>
        <w:rPr>
          <w:rFonts w:asciiTheme="majorEastAsia" w:hAnsiTheme="majorEastAsia" w:eastAsiaTheme="majorEastAsia"/>
          <w:b/>
          <w:sz w:val="52"/>
          <w:szCs w:val="52"/>
          <w:u w:val="single"/>
        </w:rPr>
      </w:pPr>
      <w:r>
        <w:rPr>
          <w:rFonts w:hint="eastAsia" w:ascii="黑体" w:hAnsi="宋体" w:eastAsia="黑体" w:cs="黑体"/>
          <w:color w:val="000000"/>
          <w:kern w:val="0"/>
          <w:sz w:val="43"/>
          <w:szCs w:val="43"/>
          <w:u w:val="single"/>
          <w:lang w:bidi="ar"/>
        </w:rPr>
        <w:t>部门预算</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widowControl/>
        <w:jc w:val="left"/>
      </w:pPr>
      <w:r>
        <w:rPr>
          <w:rFonts w:ascii="黑体" w:hAnsi="宋体" w:eastAsia="黑体" w:cs="黑体"/>
          <w:color w:val="000000"/>
          <w:kern w:val="0"/>
          <w:sz w:val="31"/>
          <w:szCs w:val="31"/>
          <w:lang w:bidi="ar"/>
        </w:rPr>
        <w:t xml:space="preserve">一、部门职责 </w:t>
      </w:r>
    </w:p>
    <w:p>
      <w:pPr>
        <w:widowControl/>
        <w:jc w:val="left"/>
      </w:pPr>
      <w:r>
        <w:rPr>
          <w:rFonts w:ascii="仿宋" w:hAnsi="仿宋" w:eastAsia="仿宋" w:cs="仿宋"/>
          <w:color w:val="000000"/>
          <w:kern w:val="0"/>
          <w:sz w:val="31"/>
          <w:szCs w:val="31"/>
          <w:lang w:bidi="ar"/>
        </w:rPr>
        <w:t xml:space="preserve">1、负责节水宣传，推广节水产品。 </w:t>
      </w:r>
    </w:p>
    <w:p>
      <w:pPr>
        <w:widowControl/>
        <w:jc w:val="left"/>
      </w:pPr>
      <w:r>
        <w:rPr>
          <w:rFonts w:hint="eastAsia" w:ascii="黑体" w:hAnsi="宋体" w:eastAsia="黑体" w:cs="黑体"/>
          <w:color w:val="000000"/>
          <w:kern w:val="0"/>
          <w:sz w:val="31"/>
          <w:szCs w:val="31"/>
          <w:lang w:bidi="ar"/>
        </w:rPr>
        <w:t xml:space="preserve">二、机构设置及部门预算单位构成 </w:t>
      </w:r>
    </w:p>
    <w:p>
      <w:pPr>
        <w:widowControl/>
        <w:jc w:val="left"/>
      </w:pPr>
      <w:r>
        <w:rPr>
          <w:rFonts w:hint="eastAsia" w:ascii="仿宋" w:hAnsi="仿宋" w:eastAsia="仿宋" w:cs="仿宋"/>
          <w:color w:val="000000"/>
          <w:kern w:val="0"/>
          <w:sz w:val="31"/>
          <w:szCs w:val="31"/>
          <w:lang w:bidi="ar"/>
        </w:rPr>
        <w:t xml:space="preserve">根据上述职责，设立白城市墙材革新与建筑节能办公 </w:t>
      </w:r>
    </w:p>
    <w:p>
      <w:pPr>
        <w:widowControl/>
        <w:jc w:val="left"/>
      </w:pPr>
      <w:r>
        <w:rPr>
          <w:rFonts w:hint="eastAsia" w:ascii="仿宋" w:hAnsi="仿宋" w:eastAsia="仿宋" w:cs="仿宋"/>
          <w:color w:val="000000"/>
          <w:kern w:val="0"/>
          <w:sz w:val="31"/>
          <w:szCs w:val="31"/>
          <w:lang w:bidi="ar"/>
        </w:rPr>
        <w:t xml:space="preserve">室。 </w:t>
      </w:r>
    </w:p>
    <w:p>
      <w:pPr>
        <w:widowControl/>
        <w:jc w:val="left"/>
      </w:pPr>
      <w:r>
        <w:rPr>
          <w:rFonts w:hint="eastAsia" w:ascii="仿宋" w:hAnsi="仿宋" w:eastAsia="仿宋" w:cs="仿宋"/>
          <w:color w:val="000000"/>
          <w:kern w:val="0"/>
          <w:sz w:val="31"/>
          <w:szCs w:val="31"/>
          <w:lang w:bidi="ar"/>
        </w:rPr>
        <w:t xml:space="preserve">纳入白城市墙材革新与建筑节能办公室 </w:t>
      </w:r>
      <w:r>
        <w:rPr>
          <w:rFonts w:hint="eastAsia" w:ascii="宋体" w:hAnsi="宋体" w:eastAsia="宋体" w:cs="宋体"/>
          <w:color w:val="000000"/>
          <w:kern w:val="0"/>
          <w:sz w:val="31"/>
          <w:szCs w:val="31"/>
          <w:lang w:bidi="ar"/>
        </w:rPr>
        <w:t xml:space="preserve">2021 </w:t>
      </w:r>
      <w:r>
        <w:rPr>
          <w:rFonts w:hint="eastAsia" w:ascii="仿宋" w:hAnsi="仿宋" w:eastAsia="仿宋" w:cs="仿宋"/>
          <w:color w:val="000000"/>
          <w:kern w:val="0"/>
          <w:sz w:val="31"/>
          <w:szCs w:val="31"/>
          <w:lang w:bidi="ar"/>
        </w:rPr>
        <w:t xml:space="preserve">年度部门 </w:t>
      </w:r>
    </w:p>
    <w:p>
      <w:pPr>
        <w:widowControl/>
        <w:jc w:val="left"/>
      </w:pPr>
      <w:r>
        <w:rPr>
          <w:rFonts w:hint="eastAsia" w:ascii="仿宋" w:hAnsi="仿宋" w:eastAsia="仿宋" w:cs="仿宋"/>
          <w:color w:val="000000"/>
          <w:kern w:val="0"/>
          <w:sz w:val="31"/>
          <w:szCs w:val="31"/>
          <w:lang w:bidi="ar"/>
        </w:rPr>
        <w:t xml:space="preserve">决算编制范围的单位包括： </w:t>
      </w:r>
    </w:p>
    <w:p>
      <w:pPr>
        <w:widowControl/>
        <w:jc w:val="left"/>
      </w:pPr>
      <w:r>
        <w:rPr>
          <w:rFonts w:hint="eastAsia" w:ascii="仿宋" w:hAnsi="仿宋" w:eastAsia="仿宋" w:cs="仿宋"/>
          <w:color w:val="000000"/>
          <w:kern w:val="0"/>
          <w:sz w:val="31"/>
          <w:szCs w:val="31"/>
          <w:lang w:bidi="ar"/>
        </w:rPr>
        <w:t>1.白城市墙材革新与建筑节能办公室本级</w:t>
      </w:r>
    </w:p>
    <w:p>
      <w:pPr>
        <w:jc w:val="center"/>
        <w:rPr>
          <w:rFonts w:ascii="黑体" w:hAnsi="黑体" w:eastAsia="黑体"/>
          <w:sz w:val="32"/>
          <w:szCs w:val="32"/>
        </w:rPr>
      </w:pPr>
    </w:p>
    <w:p/>
    <w:p/>
    <w:p/>
    <w:p/>
    <w:p/>
    <w:p/>
    <w:p/>
    <w:p/>
    <w:p/>
    <w:p/>
    <w:p/>
    <w:p/>
    <w:p/>
    <w:p/>
    <w:p/>
    <w:p/>
    <w:p/>
    <w:p/>
    <w:p/>
    <w:p/>
    <w:p>
      <w:pPr>
        <w:jc w:val="center"/>
        <w:rPr>
          <w:rFonts w:hint="eastAsia" w:ascii="黑体" w:hAnsi="黑体" w:eastAsia="黑体"/>
          <w:sz w:val="32"/>
          <w:szCs w:val="32"/>
        </w:rPr>
      </w:pPr>
      <w:bookmarkStart w:id="0" w:name="_GoBack"/>
      <w:bookmarkEnd w:id="0"/>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default" w:ascii="仿宋" w:hAnsi="仿宋" w:eastAsia="仿宋"/>
          <w:sz w:val="32"/>
          <w:szCs w:val="32"/>
          <w:u w:val="single"/>
          <w:lang w:val="en-US"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2.73</w:t>
      </w:r>
    </w:p>
    <w:p>
      <w:pPr>
        <w:rPr>
          <w:rFonts w:hint="eastAsia" w:ascii="仿宋" w:hAnsi="仿宋" w:eastAsia="仿宋"/>
          <w:sz w:val="32"/>
          <w:szCs w:val="32"/>
        </w:rPr>
      </w:pPr>
      <w:r>
        <w:rPr>
          <w:rFonts w:ascii="仿宋" w:hAnsi="仿宋" w:eastAsia="仿宋"/>
          <w:sz w:val="32"/>
          <w:szCs w:val="32"/>
        </w:rPr>
        <w:t>万元，主要原因是</w:t>
      </w:r>
      <w:r>
        <w:rPr>
          <w:rFonts w:hint="eastAsia" w:ascii="仿宋" w:hAnsi="仿宋" w:eastAsia="仿宋"/>
          <w:sz w:val="32"/>
          <w:szCs w:val="32"/>
          <w:lang w:val="en-US" w:eastAsia="zh-CN"/>
        </w:rPr>
        <w:t>人员工资的自然调整，经费增加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43.84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38.44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87.68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5.40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12.32</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38.44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87.68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12.32</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cs="仿宋"/>
          <w:color w:val="000000"/>
          <w:kern w:val="0"/>
          <w:sz w:val="31"/>
          <w:szCs w:val="31"/>
          <w:lang w:val="en-US" w:eastAsia="zh-CN" w:bidi="ar"/>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43.84</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38.44</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u w:val="single"/>
          <w:lang w:val="en-US" w:eastAsia="zh-CN"/>
        </w:rPr>
        <w:t>17.86</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9.09</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1.49</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4.49</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1.80</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0.34</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3.37</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5.40</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u w:val="single"/>
          <w:lang w:val="en-US" w:eastAsia="zh-CN"/>
        </w:rPr>
        <w:t>0.9</w:t>
      </w:r>
      <w:r>
        <w:rPr>
          <w:rFonts w:hint="eastAsia" w:ascii="仿宋" w:hAnsi="仿宋" w:eastAsia="仿宋"/>
          <w:sz w:val="32"/>
          <w:szCs w:val="32"/>
          <w:lang w:val="en-US" w:eastAsia="zh-CN"/>
        </w:rPr>
        <w:t>万元</w:t>
      </w:r>
      <w:r>
        <w:rPr>
          <w:rFonts w:ascii="仿宋" w:hAnsi="仿宋" w:eastAsia="仿宋"/>
          <w:sz w:val="32"/>
          <w:szCs w:val="32"/>
        </w:rPr>
        <w:t>、印刷费</w:t>
      </w:r>
      <w:r>
        <w:rPr>
          <w:rFonts w:hint="eastAsia" w:ascii="仿宋" w:hAnsi="仿宋" w:eastAsia="仿宋"/>
          <w:sz w:val="32"/>
          <w:szCs w:val="32"/>
          <w:u w:val="single"/>
          <w:lang w:val="en-US" w:eastAsia="zh-CN"/>
        </w:rPr>
        <w:t>0.8</w:t>
      </w:r>
      <w:r>
        <w:rPr>
          <w:rFonts w:hint="eastAsia" w:ascii="仿宋" w:hAnsi="仿宋" w:eastAsia="仿宋"/>
          <w:sz w:val="32"/>
          <w:szCs w:val="32"/>
          <w:lang w:val="en-US" w:eastAsia="zh-CN"/>
        </w:rPr>
        <w:t>万元</w:t>
      </w:r>
      <w:r>
        <w:rPr>
          <w:rFonts w:ascii="仿宋" w:hAnsi="仿宋" w:eastAsia="仿宋"/>
          <w:sz w:val="32"/>
          <w:szCs w:val="32"/>
        </w:rPr>
        <w:t>、邮电费</w:t>
      </w:r>
      <w:r>
        <w:rPr>
          <w:rFonts w:hint="eastAsia" w:ascii="仿宋" w:hAnsi="仿宋" w:eastAsia="仿宋"/>
          <w:sz w:val="32"/>
          <w:szCs w:val="32"/>
          <w:u w:val="single"/>
          <w:lang w:val="en-US" w:eastAsia="zh-CN"/>
        </w:rPr>
        <w:t>0.06</w:t>
      </w:r>
      <w:r>
        <w:rPr>
          <w:rFonts w:hint="eastAsia" w:ascii="仿宋" w:hAnsi="仿宋" w:eastAsia="仿宋"/>
          <w:sz w:val="32"/>
          <w:szCs w:val="32"/>
          <w:lang w:val="en-US" w:eastAsia="zh-CN"/>
        </w:rPr>
        <w:t>万元</w:t>
      </w:r>
      <w:r>
        <w:rPr>
          <w:rFonts w:ascii="仿宋" w:hAnsi="仿宋" w:eastAsia="仿宋"/>
          <w:sz w:val="32"/>
          <w:szCs w:val="32"/>
        </w:rPr>
        <w:t>、取暖费</w:t>
      </w:r>
      <w:r>
        <w:rPr>
          <w:rFonts w:hint="eastAsia" w:ascii="仿宋" w:hAnsi="仿宋" w:eastAsia="仿宋"/>
          <w:sz w:val="32"/>
          <w:szCs w:val="32"/>
          <w:u w:val="single"/>
          <w:lang w:val="en-US" w:eastAsia="zh-CN"/>
        </w:rPr>
        <w:t>1.00</w:t>
      </w:r>
      <w:r>
        <w:rPr>
          <w:rFonts w:hint="eastAsia" w:ascii="仿宋" w:hAnsi="仿宋" w:eastAsia="仿宋"/>
          <w:sz w:val="32"/>
          <w:szCs w:val="32"/>
          <w:lang w:val="en-US" w:eastAsia="zh-CN"/>
        </w:rPr>
        <w:t>万元</w:t>
      </w:r>
      <w:r>
        <w:rPr>
          <w:rFonts w:ascii="仿宋" w:hAnsi="仿宋" w:eastAsia="仿宋"/>
          <w:sz w:val="32"/>
          <w:szCs w:val="32"/>
        </w:rPr>
        <w:t>、差旅费</w:t>
      </w:r>
      <w:r>
        <w:rPr>
          <w:rFonts w:hint="eastAsia" w:ascii="仿宋" w:hAnsi="仿宋" w:eastAsia="仿宋"/>
          <w:sz w:val="32"/>
          <w:szCs w:val="32"/>
          <w:u w:val="single"/>
          <w:lang w:val="en-US" w:eastAsia="zh-CN"/>
        </w:rPr>
        <w:t>0.50</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lang w:val="en-US" w:eastAsia="zh-CN"/>
        </w:rPr>
        <w:t>培训费</w:t>
      </w:r>
      <w:r>
        <w:rPr>
          <w:rFonts w:hint="eastAsia" w:ascii="仿宋" w:hAnsi="仿宋" w:eastAsia="仿宋"/>
          <w:sz w:val="32"/>
          <w:szCs w:val="32"/>
          <w:u w:val="single"/>
          <w:lang w:val="en-US" w:eastAsia="zh-CN"/>
        </w:rPr>
        <w:t>0.10</w:t>
      </w:r>
      <w:r>
        <w:rPr>
          <w:rFonts w:hint="eastAsia" w:ascii="仿宋" w:hAnsi="仿宋" w:eastAsia="仿宋"/>
          <w:sz w:val="32"/>
          <w:szCs w:val="32"/>
          <w:lang w:val="en-US" w:eastAsia="zh-CN"/>
        </w:rPr>
        <w:t>万元、</w:t>
      </w:r>
      <w:r>
        <w:rPr>
          <w:rFonts w:ascii="仿宋" w:hAnsi="仿宋" w:eastAsia="仿宋"/>
          <w:sz w:val="32"/>
          <w:szCs w:val="32"/>
        </w:rPr>
        <w:t>劳务费</w:t>
      </w:r>
      <w:r>
        <w:rPr>
          <w:rFonts w:hint="eastAsia" w:ascii="仿宋" w:hAnsi="仿宋" w:eastAsia="仿宋"/>
          <w:sz w:val="32"/>
          <w:szCs w:val="32"/>
          <w:u w:val="single"/>
          <w:lang w:val="en-US" w:eastAsia="zh-CN"/>
        </w:rPr>
        <w:t>1.44</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lang w:val="en-US" w:eastAsia="zh-CN"/>
        </w:rPr>
        <w:t>工会经</w:t>
      </w:r>
      <w:r>
        <w:rPr>
          <w:rFonts w:ascii="仿宋" w:hAnsi="仿宋" w:eastAsia="仿宋"/>
          <w:sz w:val="32"/>
          <w:szCs w:val="32"/>
        </w:rPr>
        <w:t>费</w:t>
      </w:r>
      <w:r>
        <w:rPr>
          <w:rFonts w:hint="eastAsia" w:ascii="仿宋" w:hAnsi="仿宋" w:eastAsia="仿宋"/>
          <w:sz w:val="32"/>
          <w:szCs w:val="32"/>
          <w:u w:val="single"/>
          <w:lang w:val="en-US" w:eastAsia="zh-CN"/>
        </w:rPr>
        <w:t>0.6</w:t>
      </w:r>
      <w:r>
        <w:rPr>
          <w:rFonts w:hint="eastAsia" w:ascii="仿宋" w:hAnsi="仿宋" w:eastAsia="仿宋"/>
          <w:sz w:val="32"/>
          <w:szCs w:val="32"/>
          <w:lang w:val="en-US" w:eastAsia="zh-CN"/>
        </w:rPr>
        <w:t>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lang w:val="en-US" w:eastAsia="zh-CN"/>
        </w:rPr>
        <w:t>本单位无“三公经费”支出业务发生</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color w:val="FF0000"/>
          <w:sz w:val="32"/>
          <w:szCs w:val="32"/>
          <w:lang w:eastAsia="zh-CN"/>
        </w:rPr>
      </w:pPr>
      <w:r>
        <w:rPr>
          <w:rFonts w:ascii="仿宋" w:hAnsi="仿宋" w:eastAsia="仿宋"/>
          <w:sz w:val="32"/>
          <w:szCs w:val="32"/>
        </w:rPr>
        <w:t xml:space="preserve"> </w:t>
      </w:r>
      <w:r>
        <w:rPr>
          <w:rFonts w:hint="eastAsia" w:ascii="仿宋" w:hAnsi="仿宋" w:eastAsia="仿宋"/>
          <w:b/>
          <w:color w:val="auto"/>
          <w:sz w:val="32"/>
          <w:szCs w:val="32"/>
        </w:rPr>
        <w:t>部门为事业单位，没有机关运行经费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color w:val="auto"/>
          <w:sz w:val="32"/>
          <w:szCs w:val="32"/>
          <w:lang w:eastAsia="zh-CN"/>
        </w:rPr>
      </w:pPr>
      <w:r>
        <w:rPr>
          <w:rFonts w:hint="eastAsia" w:ascii="仿宋" w:hAnsi="仿宋" w:eastAsia="仿宋"/>
          <w:b/>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 xml:space="preserve"> </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lang w:val="en-US"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50209"/>
    <w:rsid w:val="03AC3305"/>
    <w:rsid w:val="136C7C57"/>
    <w:rsid w:val="29171F48"/>
    <w:rsid w:val="2A412D0F"/>
    <w:rsid w:val="33A20D45"/>
    <w:rsid w:val="3CFB6A54"/>
    <w:rsid w:val="47160221"/>
    <w:rsid w:val="65273F50"/>
    <w:rsid w:val="675F6EA9"/>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autoRedefine/>
    <w:semiHidden/>
    <w:qFormat/>
    <w:uiPriority w:val="99"/>
    <w:rPr>
      <w:sz w:val="18"/>
      <w:szCs w:val="18"/>
    </w:rPr>
  </w:style>
  <w:style w:type="character" w:customStyle="1" w:styleId="10">
    <w:name w:val="font01"/>
    <w:basedOn w:val="6"/>
    <w:autoRedefine/>
    <w:qFormat/>
    <w:uiPriority w:val="0"/>
    <w:rPr>
      <w:rFonts w:hint="eastAsia" w:ascii="宋体" w:hAnsi="宋体" w:eastAsia="宋体" w:cs="宋体"/>
      <w:color w:val="000000"/>
      <w:sz w:val="22"/>
      <w:szCs w:val="22"/>
      <w:u w:val="none"/>
    </w:rPr>
  </w:style>
  <w:style w:type="character" w:customStyle="1" w:styleId="11">
    <w:name w:val="font21"/>
    <w:basedOn w:val="6"/>
    <w:autoRedefine/>
    <w:qFormat/>
    <w:uiPriority w:val="0"/>
    <w:rPr>
      <w:rFonts w:hint="eastAsia" w:ascii="宋体" w:hAnsi="宋体" w:eastAsia="宋体" w:cs="宋体"/>
      <w:color w:val="000000"/>
      <w:sz w:val="22"/>
      <w:szCs w:val="22"/>
      <w:u w:val="single"/>
    </w:rPr>
  </w:style>
  <w:style w:type="character" w:customStyle="1" w:styleId="12">
    <w:name w:val="font31"/>
    <w:basedOn w:val="6"/>
    <w:autoRedefine/>
    <w:uiPriority w:val="0"/>
    <w:rPr>
      <w:rFonts w:hint="eastAsia" w:ascii="宋体" w:hAnsi="宋体" w:eastAsia="宋体" w:cs="宋体"/>
      <w:color w:val="000000"/>
      <w:sz w:val="20"/>
      <w:szCs w:val="20"/>
      <w:u w:val="none"/>
    </w:rPr>
  </w:style>
  <w:style w:type="character" w:customStyle="1" w:styleId="13">
    <w:name w:val="font51"/>
    <w:basedOn w:val="6"/>
    <w:autoRedefine/>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8</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2024-01-29T10:27:37Z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5437693757114F5E97E232EC7FE7B3BD_13</vt:lpwstr>
  </property>
</Properties>
</file>