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黑体" w:hAnsi="黑体" w:eastAsia="黑体"/>
          <w:sz w:val="32"/>
          <w:szCs w:val="32"/>
        </w:rPr>
      </w:pPr>
    </w:p>
    <w:p>
      <w:pPr>
        <w:jc w:val="center"/>
        <w:rPr>
          <w:rFonts w:hint="eastAsia" w:ascii="黑体" w:hAnsi="黑体" w:eastAsia="黑体"/>
          <w:sz w:val="32"/>
          <w:szCs w:val="32"/>
        </w:rPr>
      </w:pPr>
      <w:r>
        <w:rPr>
          <w:rFonts w:ascii="黑体" w:hAnsi="黑体" w:eastAsia="黑体"/>
          <w:sz w:val="32"/>
          <w:szCs w:val="32"/>
        </w:rPr>
        <w:t>第三部分 情况说明</w:t>
      </w: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r>
        <w:rPr>
          <w:rFonts w:ascii="黑体" w:hAnsi="黑体" w:eastAsia="黑体"/>
          <w:sz w:val="32"/>
          <w:szCs w:val="32"/>
        </w:rPr>
        <w:t>一、202</w:t>
      </w:r>
      <w:r>
        <w:rPr>
          <w:rFonts w:hint="eastAsia" w:ascii="黑体" w:hAnsi="黑体" w:eastAsia="黑体"/>
          <w:sz w:val="32"/>
          <w:szCs w:val="32"/>
          <w:lang w:val="en-US" w:eastAsia="zh-CN"/>
        </w:rPr>
        <w:t>4</w:t>
      </w:r>
      <w:r>
        <w:rPr>
          <w:rFonts w:ascii="黑体" w:hAnsi="黑体" w:eastAsia="黑体"/>
          <w:sz w:val="32"/>
          <w:szCs w:val="32"/>
        </w:rPr>
        <w:t>年收支预算总体情况</w:t>
      </w:r>
    </w:p>
    <w:p>
      <w:pPr>
        <w:ind w:firstLine="640" w:firstLineChars="200"/>
        <w:rPr>
          <w:rFonts w:hint="eastAsia" w:ascii="仿宋" w:hAnsi="仿宋" w:eastAsia="仿宋"/>
          <w:sz w:val="32"/>
          <w:szCs w:val="32"/>
        </w:rPr>
      </w:pPr>
      <w:r>
        <w:rPr>
          <w:rFonts w:ascii="仿宋" w:hAnsi="仿宋" w:eastAsia="仿宋"/>
          <w:sz w:val="32"/>
          <w:szCs w:val="32"/>
        </w:rPr>
        <w:t xml:space="preserve"> 按照综合预算的原则，所有收入和支出全部纳入部门预算管理。收入包括：一般公共预算拨款收入、</w:t>
      </w:r>
      <w:r>
        <w:rPr>
          <w:rFonts w:hint="eastAsia" w:ascii="仿宋" w:hAnsi="仿宋" w:eastAsia="仿宋"/>
          <w:sz w:val="32"/>
          <w:szCs w:val="32"/>
          <w:lang w:val="en-US" w:eastAsia="zh-CN"/>
        </w:rPr>
        <w:t>事业及经营收入、</w:t>
      </w:r>
      <w:r>
        <w:rPr>
          <w:rFonts w:ascii="仿宋" w:hAnsi="仿宋" w:eastAsia="仿宋"/>
          <w:sz w:val="32"/>
          <w:szCs w:val="32"/>
        </w:rPr>
        <w:t>其他收入、上年结转；支出包括：一般公共服务支出、社会保障和就业支出、卫生健康支出、住房保障支出。202</w:t>
      </w:r>
      <w:r>
        <w:rPr>
          <w:rFonts w:hint="eastAsia" w:ascii="仿宋" w:hAnsi="仿宋" w:eastAsia="仿宋"/>
          <w:sz w:val="32"/>
          <w:szCs w:val="32"/>
          <w:lang w:val="en-US" w:eastAsia="zh-CN"/>
        </w:rPr>
        <w:t>4</w:t>
      </w:r>
      <w:r>
        <w:rPr>
          <w:rFonts w:ascii="仿宋" w:hAnsi="仿宋" w:eastAsia="仿宋"/>
          <w:sz w:val="32"/>
          <w:szCs w:val="32"/>
        </w:rPr>
        <w:t>年收支总预算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197.66</w:t>
      </w:r>
      <w:r>
        <w:rPr>
          <w:rFonts w:hint="eastAsia" w:ascii="仿宋" w:hAnsi="仿宋" w:eastAsia="仿宋"/>
          <w:sz w:val="32"/>
          <w:szCs w:val="32"/>
          <w:u w:val="single"/>
        </w:rPr>
        <w:t xml:space="preserve"> </w:t>
      </w:r>
      <w:r>
        <w:rPr>
          <w:rFonts w:ascii="仿宋" w:hAnsi="仿宋" w:eastAsia="仿宋"/>
          <w:sz w:val="32"/>
          <w:szCs w:val="32"/>
        </w:rPr>
        <w:t>万元, 比20</w:t>
      </w:r>
      <w:r>
        <w:rPr>
          <w:rFonts w:hint="eastAsia" w:ascii="仿宋" w:hAnsi="仿宋" w:eastAsia="仿宋"/>
          <w:sz w:val="32"/>
          <w:szCs w:val="32"/>
          <w:lang w:val="en-US" w:eastAsia="zh-CN"/>
        </w:rPr>
        <w:t>23</w:t>
      </w:r>
      <w:r>
        <w:rPr>
          <w:rFonts w:ascii="仿宋" w:hAnsi="仿宋" w:eastAsia="仿宋"/>
          <w:sz w:val="32"/>
          <w:szCs w:val="32"/>
        </w:rPr>
        <w:t>年预算</w:t>
      </w:r>
      <w:r>
        <w:rPr>
          <w:rFonts w:hint="eastAsia" w:ascii="仿宋" w:hAnsi="仿宋" w:eastAsia="仿宋"/>
          <w:sz w:val="32"/>
          <w:szCs w:val="32"/>
          <w:lang w:eastAsia="zh-CN"/>
        </w:rPr>
        <w:t>减少</w:t>
      </w:r>
      <w:r>
        <w:rPr>
          <w:rFonts w:hint="eastAsia" w:ascii="仿宋" w:hAnsi="仿宋" w:eastAsia="仿宋"/>
          <w:sz w:val="32"/>
          <w:szCs w:val="32"/>
          <w:u w:val="single"/>
          <w:lang w:val="en-US" w:eastAsia="zh-CN"/>
        </w:rPr>
        <w:t>1.93</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lang w:eastAsia="zh-CN"/>
        </w:rPr>
        <w:t>驻村补助未列入预算</w:t>
      </w:r>
      <w:r>
        <w:rPr>
          <w:rFonts w:ascii="仿宋" w:hAnsi="仿宋" w:eastAsia="仿宋"/>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二、202</w:t>
      </w:r>
      <w:r>
        <w:rPr>
          <w:rFonts w:hint="eastAsia" w:ascii="黑体" w:hAnsi="黑体" w:eastAsia="黑体"/>
          <w:sz w:val="32"/>
          <w:szCs w:val="32"/>
          <w:lang w:val="en-US" w:eastAsia="zh-CN"/>
        </w:rPr>
        <w:t>4</w:t>
      </w:r>
      <w:r>
        <w:rPr>
          <w:rFonts w:ascii="黑体" w:hAnsi="黑体" w:eastAsia="黑体"/>
          <w:sz w:val="32"/>
          <w:szCs w:val="32"/>
        </w:rPr>
        <w:t>年收入预算情况</w:t>
      </w:r>
    </w:p>
    <w:p>
      <w:pPr>
        <w:ind w:firstLine="640" w:firstLineChars="200"/>
        <w:rPr>
          <w:rFonts w:hint="eastAsia" w:ascii="仿宋" w:hAnsi="仿宋" w:eastAsia="仿宋"/>
          <w:sz w:val="32"/>
          <w:szCs w:val="32"/>
          <w:lang w:eastAsia="zh-CN"/>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年收入预算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197.66</w:t>
      </w:r>
      <w:r>
        <w:rPr>
          <w:rFonts w:hint="eastAsia" w:ascii="仿宋" w:hAnsi="仿宋" w:eastAsia="仿宋"/>
          <w:sz w:val="32"/>
          <w:szCs w:val="32"/>
          <w:u w:val="single"/>
        </w:rPr>
        <w:t xml:space="preserve">  </w:t>
      </w:r>
      <w:r>
        <w:rPr>
          <w:rFonts w:ascii="仿宋" w:hAnsi="仿宋" w:eastAsia="仿宋"/>
          <w:sz w:val="32"/>
          <w:szCs w:val="32"/>
        </w:rPr>
        <w:t>万元，其中：本年收入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197.66</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%；上年结转</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197.66</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ascii="仿宋" w:hAnsi="仿宋" w:eastAsia="仿宋"/>
          <w:sz w:val="32"/>
          <w:szCs w:val="32"/>
        </w:rPr>
        <w:t>%</w:t>
      </w:r>
      <w:r>
        <w:rPr>
          <w:rFonts w:hint="eastAsia" w:ascii="仿宋" w:hAnsi="仿宋" w:eastAsia="仿宋"/>
          <w:sz w:val="32"/>
          <w:szCs w:val="32"/>
          <w:lang w:eastAsia="zh-CN"/>
        </w:rPr>
        <w:t>。</w:t>
      </w:r>
    </w:p>
    <w:p>
      <w:pPr>
        <w:ind w:firstLine="640" w:firstLineChars="200"/>
        <w:rPr>
          <w:rFonts w:hint="eastAsia" w:ascii="黑体" w:hAnsi="黑体" w:eastAsia="黑体"/>
          <w:sz w:val="32"/>
          <w:szCs w:val="32"/>
        </w:rPr>
      </w:pPr>
      <w:r>
        <w:rPr>
          <w:rFonts w:ascii="黑体" w:hAnsi="黑体" w:eastAsia="黑体"/>
          <w:sz w:val="32"/>
          <w:szCs w:val="32"/>
        </w:rPr>
        <w:t xml:space="preserve"> 三、202</w:t>
      </w:r>
      <w:r>
        <w:rPr>
          <w:rFonts w:hint="eastAsia" w:ascii="黑体" w:hAnsi="黑体" w:eastAsia="黑体"/>
          <w:sz w:val="32"/>
          <w:szCs w:val="32"/>
          <w:lang w:val="en-US" w:eastAsia="zh-CN"/>
        </w:rPr>
        <w:t>4</w:t>
      </w:r>
      <w:r>
        <w:rPr>
          <w:rFonts w:ascii="黑体" w:hAnsi="黑体" w:eastAsia="黑体"/>
          <w:sz w:val="32"/>
          <w:szCs w:val="32"/>
        </w:rPr>
        <w:t>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年支出预算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197.66</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197.66</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177.87</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89.99</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19.79</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10.01</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eastAsia" w:ascii="黑体" w:hAnsi="黑体" w:eastAsia="黑体"/>
          <w:sz w:val="32"/>
          <w:szCs w:val="32"/>
          <w:lang w:val="en-US" w:eastAsia="zh-CN"/>
        </w:rPr>
        <w:t>4</w:t>
      </w:r>
      <w:r>
        <w:rPr>
          <w:rFonts w:ascii="黑体" w:hAnsi="黑体" w:eastAsia="黑体"/>
          <w:sz w:val="32"/>
          <w:szCs w:val="32"/>
        </w:rPr>
        <w:t>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年财政拨款收支总预算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197.66</w:t>
      </w:r>
      <w:r>
        <w:rPr>
          <w:rFonts w:hint="eastAsia" w:ascii="仿宋" w:hAnsi="仿宋" w:eastAsia="仿宋"/>
          <w:sz w:val="32"/>
          <w:szCs w:val="32"/>
          <w:u w:val="single"/>
        </w:rPr>
        <w:t xml:space="preserve"> </w:t>
      </w:r>
      <w:r>
        <w:rPr>
          <w:rFonts w:ascii="仿宋" w:hAnsi="仿宋" w:eastAsia="仿宋"/>
          <w:sz w:val="32"/>
          <w:szCs w:val="32"/>
        </w:rPr>
        <w:t>万元，其中：一般公共预算拨款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197.66</w:t>
      </w:r>
      <w:r>
        <w:rPr>
          <w:rFonts w:hint="eastAsia" w:ascii="仿宋" w:hAnsi="仿宋" w:eastAsia="仿宋"/>
          <w:sz w:val="32"/>
          <w:szCs w:val="32"/>
          <w:u w:val="single"/>
        </w:rPr>
        <w:t xml:space="preserve">  </w:t>
      </w:r>
      <w:r>
        <w:rPr>
          <w:rFonts w:ascii="仿宋" w:hAnsi="仿宋" w:eastAsia="仿宋"/>
          <w:sz w:val="32"/>
          <w:szCs w:val="32"/>
        </w:rPr>
        <w:t>万元。支出包括：一般公共服务支出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150.85</w:t>
      </w:r>
      <w:r>
        <w:rPr>
          <w:rFonts w:hint="eastAsia" w:ascii="仿宋" w:hAnsi="仿宋" w:eastAsia="仿宋"/>
          <w:sz w:val="32"/>
          <w:szCs w:val="32"/>
          <w:u w:val="single"/>
        </w:rPr>
        <w:t xml:space="preserve">  </w:t>
      </w:r>
      <w:r>
        <w:rPr>
          <w:rFonts w:ascii="仿宋" w:hAnsi="仿宋" w:eastAsia="仿宋"/>
          <w:sz w:val="32"/>
          <w:szCs w:val="32"/>
        </w:rPr>
        <w:t>万元，社会保障和就业支出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21.12</w:t>
      </w:r>
      <w:r>
        <w:rPr>
          <w:rFonts w:hint="eastAsia" w:ascii="仿宋" w:hAnsi="仿宋" w:eastAsia="仿宋"/>
          <w:sz w:val="32"/>
          <w:szCs w:val="32"/>
          <w:u w:val="single"/>
        </w:rPr>
        <w:t xml:space="preserve"> </w:t>
      </w:r>
      <w:r>
        <w:rPr>
          <w:rFonts w:ascii="仿宋" w:hAnsi="仿宋" w:eastAsia="仿宋"/>
          <w:sz w:val="32"/>
          <w:szCs w:val="32"/>
        </w:rPr>
        <w:t>万元，卫生健康支出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9.08</w:t>
      </w:r>
      <w:r>
        <w:rPr>
          <w:rFonts w:hint="eastAsia" w:ascii="仿宋" w:hAnsi="仿宋" w:eastAsia="仿宋"/>
          <w:sz w:val="32"/>
          <w:szCs w:val="32"/>
          <w:u w:val="single"/>
        </w:rPr>
        <w:t xml:space="preserve">  </w:t>
      </w:r>
      <w:r>
        <w:rPr>
          <w:rFonts w:ascii="仿宋" w:hAnsi="仿宋" w:eastAsia="仿宋"/>
          <w:sz w:val="32"/>
          <w:szCs w:val="32"/>
        </w:rPr>
        <w:t>万元，住房保障支出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16.61</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年一般公共预算当年拨款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197.66</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197.66</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177.87</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89.99</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19.79</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10.01</w:t>
      </w:r>
      <w:r>
        <w:rPr>
          <w:rFonts w:hint="eastAsia" w:ascii="仿宋" w:hAnsi="仿宋" w:eastAsia="仿宋"/>
          <w:sz w:val="32"/>
          <w:szCs w:val="32"/>
          <w:u w:val="single"/>
        </w:rPr>
        <w:t xml:space="preserve"> </w:t>
      </w:r>
      <w:r>
        <w:rPr>
          <w:rFonts w:ascii="仿宋" w:hAnsi="仿宋" w:eastAsia="仿宋"/>
          <w:sz w:val="32"/>
          <w:szCs w:val="32"/>
        </w:rPr>
        <w:t>%。 一般公共服务（类）支出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150.85</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76.32</w:t>
      </w:r>
      <w:r>
        <w:rPr>
          <w:rFonts w:hint="eastAsia" w:ascii="仿宋" w:hAnsi="仿宋" w:eastAsia="仿宋"/>
          <w:sz w:val="32"/>
          <w:szCs w:val="32"/>
          <w:u w:val="single"/>
        </w:rPr>
        <w:t xml:space="preserve">  </w:t>
      </w:r>
      <w:r>
        <w:rPr>
          <w:rFonts w:ascii="仿宋" w:hAnsi="仿宋" w:eastAsia="仿宋"/>
          <w:sz w:val="32"/>
          <w:szCs w:val="32"/>
        </w:rPr>
        <w:t>%，主要用于行政事业单位人员工资、机构运行经费及等。 社会保障和就业（类）支出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21.12</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10.69</w:t>
      </w:r>
      <w:r>
        <w:rPr>
          <w:rFonts w:hint="eastAsia" w:ascii="仿宋" w:hAnsi="仿宋" w:eastAsia="仿宋"/>
          <w:sz w:val="32"/>
          <w:szCs w:val="32"/>
          <w:u w:val="single"/>
        </w:rPr>
        <w:t xml:space="preserve">  </w:t>
      </w:r>
      <w:r>
        <w:rPr>
          <w:rFonts w:ascii="仿宋" w:hAnsi="仿宋" w:eastAsia="仿宋"/>
          <w:sz w:val="32"/>
          <w:szCs w:val="32"/>
        </w:rPr>
        <w:t>%，主要用于行政事业单位离退休人员经费支出。 卫生健康（类）支出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9.08</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4.59</w:t>
      </w:r>
      <w:r>
        <w:rPr>
          <w:rFonts w:hint="eastAsia" w:ascii="仿宋" w:hAnsi="仿宋" w:eastAsia="仿宋"/>
          <w:sz w:val="32"/>
          <w:szCs w:val="32"/>
          <w:u w:val="single"/>
        </w:rPr>
        <w:t xml:space="preserve"> </w:t>
      </w:r>
      <w:r>
        <w:rPr>
          <w:rFonts w:ascii="仿宋" w:hAnsi="仿宋" w:eastAsia="仿宋"/>
          <w:sz w:val="32"/>
          <w:szCs w:val="32"/>
        </w:rPr>
        <w:t>%，主要用于行政事业单位基本医疗保险缴费支出。住房保障（类）支出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16.61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8.4</w:t>
      </w:r>
      <w:r>
        <w:rPr>
          <w:rFonts w:hint="eastAsia" w:ascii="仿宋" w:hAnsi="仿宋" w:eastAsia="仿宋"/>
          <w:sz w:val="32"/>
          <w:szCs w:val="32"/>
          <w:u w:val="single"/>
        </w:rPr>
        <w:t xml:space="preserve">  </w:t>
      </w:r>
      <w:r>
        <w:rPr>
          <w:rFonts w:ascii="仿宋" w:hAnsi="仿宋" w:eastAsia="仿宋"/>
          <w:sz w:val="32"/>
          <w:szCs w:val="32"/>
        </w:rPr>
        <w:t>%，主要用于行政事业单位为职工缴纳的住房公积金支出。</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eastAsia" w:ascii="黑体" w:hAnsi="黑体" w:eastAsia="黑体"/>
          <w:sz w:val="32"/>
          <w:szCs w:val="32"/>
          <w:lang w:val="en-US" w:eastAsia="zh-CN"/>
        </w:rPr>
        <w:t>4</w:t>
      </w:r>
      <w:r>
        <w:rPr>
          <w:rFonts w:ascii="黑体" w:hAnsi="黑体" w:eastAsia="黑体"/>
          <w:sz w:val="32"/>
          <w:szCs w:val="32"/>
        </w:rPr>
        <w:t>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年一般公共预算基本支出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197.66</w:t>
      </w:r>
      <w:r>
        <w:rPr>
          <w:rFonts w:hint="eastAsia" w:ascii="仿宋" w:hAnsi="仿宋" w:eastAsia="仿宋"/>
          <w:sz w:val="32"/>
          <w:szCs w:val="32"/>
          <w:u w:val="single"/>
        </w:rPr>
        <w:t xml:space="preserve">  </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177.87</w:t>
      </w:r>
      <w:r>
        <w:rPr>
          <w:rFonts w:hint="eastAsia" w:ascii="仿宋" w:hAnsi="仿宋" w:eastAsia="仿宋"/>
          <w:sz w:val="32"/>
          <w:szCs w:val="32"/>
          <w:u w:val="single"/>
        </w:rPr>
        <w:t xml:space="preserve"> </w:t>
      </w:r>
      <w:r>
        <w:rPr>
          <w:rFonts w:ascii="仿宋" w:hAnsi="仿宋" w:eastAsia="仿宋"/>
          <w:sz w:val="32"/>
          <w:szCs w:val="32"/>
        </w:rPr>
        <w:t>万元，主要包括：基本工资、津贴补贴、奖金、绩效工资、机关事业单位基本养老保险缴费、职工基本 医疗保险缴费、公务员医疗补助缴费、其他社会保障缴费、住房公积金、医疗费、其他工资福利支出、离休费、其他对个人 和家庭的补助支出。公用经费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19.79</w:t>
      </w:r>
      <w:r>
        <w:rPr>
          <w:rFonts w:hint="eastAsia" w:ascii="仿宋" w:hAnsi="仿宋" w:eastAsia="仿宋"/>
          <w:sz w:val="32"/>
          <w:szCs w:val="32"/>
          <w:u w:val="single"/>
        </w:rPr>
        <w:t xml:space="preserve">  </w:t>
      </w:r>
      <w:r>
        <w:rPr>
          <w:rFonts w:ascii="仿宋" w:hAnsi="仿宋" w:eastAsia="仿宋"/>
          <w:sz w:val="32"/>
          <w:szCs w:val="32"/>
        </w:rPr>
        <w:t>万元，主要包括：办公费、印刷费、咨询费、手续费、水费、电费、邮电费、取暖费、物业管理费、差旅费、维修（护）费、租赁费、会议费、培训费、公务接待费、劳务费、委托业务费、工会经费、福利费、公务用车运行维护费、其他交通费用、其他商品和服务支出。</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年一般公共预算财政拨款“三公”经费情况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 xml:space="preserve"> 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 xml:space="preserve"> 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val="en-US" w:eastAsia="zh-CN"/>
        </w:rPr>
        <w:t>比</w:t>
      </w:r>
      <w:r>
        <w:rPr>
          <w:rFonts w:ascii="仿宋" w:hAnsi="仿宋" w:eastAsia="仿宋"/>
          <w:sz w:val="32"/>
          <w:szCs w:val="32"/>
        </w:rPr>
        <w:t xml:space="preserve">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万元，主要原因是是</w:t>
      </w:r>
      <w:r>
        <w:rPr>
          <w:rFonts w:hint="eastAsia" w:ascii="仿宋" w:hAnsi="仿宋" w:eastAsia="仿宋"/>
          <w:sz w:val="32"/>
          <w:szCs w:val="32"/>
          <w:lang w:eastAsia="zh-CN"/>
        </w:rPr>
        <w:t>励行节约，减少公务接待支出</w:t>
      </w:r>
      <w:r>
        <w:rPr>
          <w:rFonts w:ascii="仿宋" w:hAnsi="仿宋" w:eastAsia="仿宋"/>
          <w:sz w:val="32"/>
          <w:szCs w:val="32"/>
        </w:rPr>
        <w:t>。 3.公务用车购置及运行费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lang w:eastAsia="zh-CN"/>
        </w:rPr>
        <w:t>本部门无公务用车</w:t>
      </w:r>
      <w:r>
        <w:rPr>
          <w:rFonts w:ascii="仿宋" w:hAnsi="仿宋" w:eastAsia="仿宋"/>
          <w:sz w:val="32"/>
          <w:szCs w:val="32"/>
        </w:rPr>
        <w:t>。</w:t>
      </w:r>
    </w:p>
    <w:p>
      <w:pPr>
        <w:ind w:firstLine="640" w:firstLineChars="200"/>
        <w:rPr>
          <w:rFonts w:ascii="黑体" w:hAnsi="黑体" w:eastAsia="黑体"/>
          <w:sz w:val="32"/>
          <w:szCs w:val="32"/>
        </w:rPr>
      </w:pPr>
      <w:r>
        <w:rPr>
          <w:rFonts w:ascii="仿宋" w:hAnsi="仿宋" w:eastAsia="仿宋"/>
          <w:sz w:val="32"/>
          <w:szCs w:val="32"/>
        </w:rPr>
        <w:t xml:space="preserve"> </w:t>
      </w:r>
      <w:r>
        <w:rPr>
          <w:rFonts w:ascii="黑体" w:hAnsi="黑体" w:eastAsia="黑体"/>
          <w:sz w:val="32"/>
          <w:szCs w:val="32"/>
        </w:rPr>
        <w:t>八、202</w:t>
      </w:r>
      <w:r>
        <w:rPr>
          <w:rFonts w:hint="eastAsia" w:ascii="黑体" w:hAnsi="黑体" w:eastAsia="黑体"/>
          <w:sz w:val="32"/>
          <w:szCs w:val="32"/>
          <w:lang w:val="en-US" w:eastAsia="zh-CN"/>
        </w:rPr>
        <w:t>4</w:t>
      </w:r>
      <w:r>
        <w:rPr>
          <w:rFonts w:ascii="黑体" w:hAnsi="黑体" w:eastAsia="黑体"/>
          <w:sz w:val="32"/>
          <w:szCs w:val="32"/>
        </w:rPr>
        <w:t xml:space="preserve">年政府性基金预算支出情况 </w:t>
      </w:r>
    </w:p>
    <w:p>
      <w:pPr>
        <w:ind w:firstLine="960" w:firstLineChars="300"/>
        <w:rPr>
          <w:rFonts w:hint="eastAsia" w:ascii="仿宋" w:hAnsi="仿宋" w:eastAsia="仿宋"/>
          <w:b/>
          <w:sz w:val="32"/>
          <w:szCs w:val="32"/>
        </w:rPr>
      </w:pPr>
      <w:r>
        <w:rPr>
          <w:rFonts w:ascii="仿宋" w:hAnsi="仿宋" w:eastAsia="仿宋"/>
          <w:sz w:val="32"/>
          <w:szCs w:val="32"/>
        </w:rPr>
        <w:t>本部门无政府性基金预算拨款</w:t>
      </w:r>
      <w:r>
        <w:rPr>
          <w:rFonts w:hint="eastAsia" w:ascii="仿宋" w:hAnsi="仿宋" w:eastAsia="仿宋"/>
          <w:sz w:val="32"/>
          <w:szCs w:val="32"/>
        </w:rPr>
        <w:t>。</w:t>
      </w:r>
      <w:r>
        <w:rPr>
          <w:rFonts w:ascii="仿宋" w:hAnsi="仿宋" w:eastAsia="仿宋"/>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0" w:firstLineChars="200"/>
        <w:rPr>
          <w:rFonts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年部门本级 1 家行政单位的机关运行经费财政拨款预算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19.79</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13.47</w:t>
      </w:r>
      <w:r>
        <w:rPr>
          <w:rFonts w:hint="eastAsia" w:ascii="仿宋" w:hAnsi="仿宋" w:eastAsia="仿宋"/>
          <w:sz w:val="32"/>
          <w:szCs w:val="32"/>
          <w:u w:val="single"/>
        </w:rPr>
        <w:t xml:space="preserve"> </w:t>
      </w:r>
      <w:r>
        <w:rPr>
          <w:rFonts w:ascii="仿宋" w:hAnsi="仿宋" w:eastAsia="仿宋"/>
          <w:sz w:val="32"/>
          <w:szCs w:val="32"/>
        </w:rPr>
        <w:t>万元，增长</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213.13</w:t>
      </w:r>
      <w:r>
        <w:rPr>
          <w:rFonts w:hint="eastAsia" w:ascii="仿宋" w:hAnsi="仿宋" w:eastAsia="仿宋"/>
          <w:sz w:val="32"/>
          <w:szCs w:val="32"/>
          <w:u w:val="single"/>
        </w:rPr>
        <w:t xml:space="preserve"> </w:t>
      </w:r>
      <w:r>
        <w:rPr>
          <w:rFonts w:ascii="仿宋" w:hAnsi="仿宋" w:eastAsia="仿宋"/>
          <w:sz w:val="32"/>
          <w:szCs w:val="32"/>
        </w:rPr>
        <w:t>%， 主要原因是</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2024年公务员车补列入机关运行经费</w:t>
      </w:r>
      <w:r>
        <w:rPr>
          <w:rFonts w:ascii="仿宋" w:hAnsi="仿宋" w:eastAsia="仿宋"/>
          <w:sz w:val="32"/>
          <w:szCs w:val="32"/>
        </w:rPr>
        <w:t>。</w:t>
      </w:r>
    </w:p>
    <w:p>
      <w:pPr>
        <w:ind w:firstLine="640" w:firstLineChars="200"/>
        <w:rPr>
          <w:rFonts w:hint="eastAsia" w:ascii="楷体" w:hAnsi="楷体" w:eastAsia="楷体"/>
          <w:sz w:val="32"/>
          <w:szCs w:val="32"/>
        </w:rPr>
      </w:pPr>
      <w:r>
        <w:rPr>
          <w:rFonts w:ascii="楷体" w:hAnsi="楷体" w:eastAsia="楷体"/>
          <w:sz w:val="32"/>
          <w:szCs w:val="32"/>
        </w:rPr>
        <w:t>（二）政府采购情况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w:t>
      </w:r>
      <w:r>
        <w:rPr>
          <w:rFonts w:hint="eastAsia" w:ascii="仿宋" w:hAnsi="仿宋" w:eastAsia="仿宋"/>
          <w:sz w:val="32"/>
          <w:szCs w:val="32"/>
        </w:rPr>
        <w:t>本部门无政府采购预算</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23</w:t>
      </w:r>
      <w:r>
        <w:rPr>
          <w:rFonts w:ascii="仿宋" w:hAnsi="仿宋" w:eastAsia="仿宋"/>
          <w:sz w:val="32"/>
          <w:szCs w:val="32"/>
        </w:rPr>
        <w:t xml:space="preserve"> 年</w:t>
      </w:r>
      <w:r>
        <w:rPr>
          <w:rFonts w:hint="eastAsia" w:ascii="仿宋" w:hAnsi="仿宋" w:eastAsia="仿宋"/>
          <w:sz w:val="32"/>
          <w:szCs w:val="32"/>
        </w:rPr>
        <w:t>12</w:t>
      </w:r>
      <w:r>
        <w:rPr>
          <w:rFonts w:ascii="仿宋" w:hAnsi="仿宋" w:eastAsia="仿宋"/>
          <w:sz w:val="32"/>
          <w:szCs w:val="32"/>
        </w:rPr>
        <w:t>月底，部门本级和所属各预算单位共有车辆</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辆，房屋</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3463.83</w:t>
      </w:r>
      <w:r>
        <w:rPr>
          <w:rFonts w:hint="eastAsia" w:ascii="仿宋" w:hAnsi="仿宋" w:eastAsia="仿宋"/>
          <w:sz w:val="32"/>
          <w:szCs w:val="32"/>
          <w:u w:val="single"/>
        </w:rPr>
        <w:t xml:space="preserve">  </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台/套，单价 100 万元及以上的专用设备实有数</w:t>
      </w:r>
      <w:r>
        <w:rPr>
          <w:rFonts w:hint="eastAsia" w:ascii="仿宋" w:hAnsi="仿宋" w:eastAsia="仿宋"/>
          <w:sz w:val="32"/>
          <w:szCs w:val="32"/>
          <w:lang w:val="en-US" w:eastAsia="zh-CN"/>
        </w:rPr>
        <w:t>0</w:t>
      </w:r>
      <w:r>
        <w:rPr>
          <w:rFonts w:ascii="仿宋" w:hAnsi="仿宋" w:eastAsia="仿宋"/>
          <w:sz w:val="32"/>
          <w:szCs w:val="32"/>
        </w:rPr>
        <w:t>台/套。 202</w:t>
      </w:r>
      <w:r>
        <w:rPr>
          <w:rFonts w:hint="eastAsia" w:ascii="仿宋" w:hAnsi="仿宋" w:eastAsia="仿宋"/>
          <w:sz w:val="32"/>
          <w:szCs w:val="32"/>
          <w:lang w:val="en-US" w:eastAsia="zh-CN"/>
        </w:rPr>
        <w:t>4</w:t>
      </w:r>
      <w:r>
        <w:rPr>
          <w:rFonts w:ascii="仿宋" w:hAnsi="仿宋" w:eastAsia="仿宋"/>
          <w:sz w:val="32"/>
          <w:szCs w:val="32"/>
        </w:rPr>
        <w:t>年部门预算</w:t>
      </w:r>
      <w:r>
        <w:rPr>
          <w:rFonts w:hint="eastAsia" w:ascii="仿宋" w:hAnsi="仿宋" w:eastAsia="仿宋"/>
          <w:sz w:val="32"/>
          <w:szCs w:val="32"/>
        </w:rPr>
        <w:t>没有安排</w:t>
      </w:r>
      <w:r>
        <w:rPr>
          <w:rFonts w:ascii="仿宋" w:hAnsi="仿宋" w:eastAsia="仿宋"/>
          <w:sz w:val="32"/>
          <w:szCs w:val="32"/>
        </w:rPr>
        <w:t xml:space="preserve">购置车辆、土地、房屋、单价 50 万元及以上的通用设备和单价 100 万元及以上的专用设备。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640" w:firstLineChars="200"/>
        <w:rPr>
          <w:rFonts w:hint="eastAsia" w:ascii="仿宋" w:hAnsi="仿宋" w:eastAsia="仿宋"/>
          <w:sz w:val="32"/>
          <w:szCs w:val="32"/>
          <w:lang w:eastAsia="zh-CN"/>
        </w:rPr>
      </w:pPr>
      <w:r>
        <w:rPr>
          <w:rFonts w:ascii="仿宋" w:hAnsi="仿宋" w:eastAsia="仿宋"/>
          <w:sz w:val="32"/>
          <w:szCs w:val="32"/>
        </w:rPr>
        <w:t xml:space="preserve"> </w:t>
      </w:r>
      <w:r>
        <w:rPr>
          <w:rFonts w:hint="eastAsia" w:ascii="仿宋" w:hAnsi="仿宋" w:eastAsia="仿宋"/>
          <w:sz w:val="32"/>
          <w:szCs w:val="32"/>
        </w:rPr>
        <w:t>本年度无</w:t>
      </w:r>
      <w:r>
        <w:rPr>
          <w:rFonts w:ascii="仿宋" w:hAnsi="仿宋" w:eastAsia="仿宋"/>
          <w:sz w:val="32"/>
          <w:szCs w:val="32"/>
        </w:rPr>
        <w:t>一级项目支出</w:t>
      </w:r>
      <w:r>
        <w:rPr>
          <w:rFonts w:hint="eastAsia" w:ascii="仿宋" w:hAnsi="仿宋" w:eastAsia="仿宋"/>
          <w:sz w:val="32"/>
          <w:szCs w:val="32"/>
        </w:rPr>
        <w:t>预</w:t>
      </w:r>
      <w:r>
        <w:rPr>
          <w:rFonts w:hint="eastAsia" w:ascii="仿宋" w:hAnsi="仿宋" w:eastAsia="仿宋"/>
          <w:sz w:val="32"/>
          <w:szCs w:val="32"/>
          <w:lang w:eastAsia="zh-CN"/>
        </w:rPr>
        <w:t>算</w:t>
      </w:r>
    </w:p>
    <w:p>
      <w:pPr>
        <w:ind w:firstLine="640" w:firstLineChars="200"/>
        <w:jc w:val="center"/>
        <w:rPr>
          <w:rFonts w:hint="eastAsia" w:ascii="黑体" w:hAnsi="黑体" w:eastAsia="黑体"/>
          <w:sz w:val="32"/>
          <w:szCs w:val="32"/>
        </w:rPr>
      </w:pPr>
    </w:p>
    <w:p>
      <w:pPr>
        <w:ind w:firstLine="640" w:firstLineChars="200"/>
        <w:rPr>
          <w:rFonts w:hint="eastAsia" w:ascii="仿宋" w:hAnsi="仿宋" w:eastAsia="仿宋"/>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hint="eastAsia" w:ascii="黑体" w:hAnsi="黑体" w:eastAsia="黑体"/>
          <w:sz w:val="32"/>
          <w:szCs w:val="32"/>
        </w:rPr>
      </w:pPr>
      <w:bookmarkStart w:id="0" w:name="_GoBack"/>
      <w:bookmarkEnd w:id="0"/>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M3YjcwY2RkY2M2MjhiNGVkNzdiZGExMGZkZmU1YTMifQ=="/>
  </w:docVars>
  <w:rsids>
    <w:rsidRoot w:val="00F56C7F"/>
    <w:rsid w:val="0038785D"/>
    <w:rsid w:val="003D180D"/>
    <w:rsid w:val="00447A14"/>
    <w:rsid w:val="00465D1A"/>
    <w:rsid w:val="00511CA1"/>
    <w:rsid w:val="006408CA"/>
    <w:rsid w:val="006928F4"/>
    <w:rsid w:val="00772FEA"/>
    <w:rsid w:val="009F541B"/>
    <w:rsid w:val="00B97DBD"/>
    <w:rsid w:val="00D00FFA"/>
    <w:rsid w:val="00E770E8"/>
    <w:rsid w:val="00F56C7F"/>
    <w:rsid w:val="00FA5C51"/>
    <w:rsid w:val="00FC3B1B"/>
    <w:rsid w:val="144B6C0D"/>
    <w:rsid w:val="17E5678D"/>
    <w:rsid w:val="1EA179D0"/>
    <w:rsid w:val="25AC78F4"/>
    <w:rsid w:val="286C41F2"/>
    <w:rsid w:val="3BEA738C"/>
    <w:rsid w:val="46273DE8"/>
    <w:rsid w:val="49F37B74"/>
    <w:rsid w:val="4F354984"/>
    <w:rsid w:val="5FC77375"/>
    <w:rsid w:val="65E77DD8"/>
    <w:rsid w:val="69A33D97"/>
    <w:rsid w:val="6D9D16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autoRedefine/>
    <w:semiHidden/>
    <w:unhideWhenUsed/>
    <w:qFormat/>
    <w:uiPriority w:val="1"/>
  </w:style>
  <w:style w:type="table" w:default="1" w:styleId="2">
    <w:name w:val="Normal Table"/>
    <w:autoRedefin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3022</Words>
  <Characters>3116</Characters>
  <Lines>25</Lines>
  <Paragraphs>7</Paragraphs>
  <TotalTime>18</TotalTime>
  <ScaleCrop>false</ScaleCrop>
  <LinksUpToDate>false</LinksUpToDate>
  <CharactersWithSpaces>3532</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2020-02-27T06:04:00Z</dcterms:created>
  <dc:creator>PC</dc:creator>
  <cp:lastModifiedBy>Administrator</cp:lastModifiedBy>
  <cp:lastPrinted>2024-01-30T03:18:00Z</cp:lastPrinted>
  <dcterms:modified xsi:type="dcterms:W3CDTF">2024-01-31T00:35:57Z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CBBE71DA11D241AC950E3D247CEBD5C2</vt:lpwstr>
  </property>
</Properties>
</file>