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center"/>
        <w:rPr>
          <w:rFonts w:asciiTheme="majorEastAsia" w:hAnsiTheme="majorEastAsia" w:eastAsiaTheme="majorEastAsia"/>
          <w:b/>
          <w:sz w:val="52"/>
          <w:szCs w:val="52"/>
          <w:u w:val="single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>白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>城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>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 xml:space="preserve"> 物 业 管 理 中 心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numPr>
          <w:ilvl w:val="0"/>
          <w:numId w:val="1"/>
        </w:numPr>
        <w:ind w:firstLine="320" w:firstLineChars="100"/>
        <w:jc w:val="left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主要职能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为“宜居小区”评比活动提供服务；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（二）负责物业专项维修资金查询；</w:t>
      </w:r>
    </w:p>
    <w:p>
      <w:pPr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 xml:space="preserve">  （三）负责物业管理政策法规信息发布；</w:t>
      </w:r>
    </w:p>
    <w:p>
      <w:pPr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 xml:space="preserve">  （四）为业主和物业服务企业提供服务；</w:t>
      </w:r>
    </w:p>
    <w:p>
      <w:pPr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 xml:space="preserve">  （五）培训物业服务企业人员；</w:t>
      </w:r>
    </w:p>
    <w:p>
      <w:pPr>
        <w:numPr>
          <w:ilvl w:val="0"/>
          <w:numId w:val="0"/>
        </w:numPr>
        <w:jc w:val="left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 xml:space="preserve">  （六）为物业专项维修资金交存、使用提供服务职责。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资金归集科、工程科、管理科、综合办公室。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64C11B"/>
    <w:multiLevelType w:val="singleLevel"/>
    <w:tmpl w:val="A864C11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kOGFkMDlhMWY2Yjk1MzQ2N2IwZmE4MzJkNGFlNDA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36C7C57"/>
    <w:rsid w:val="30D173F8"/>
    <w:rsid w:val="39385966"/>
    <w:rsid w:val="3CFB6A54"/>
    <w:rsid w:val="47160221"/>
    <w:rsid w:val="529A65BD"/>
    <w:rsid w:val="544D0BFA"/>
    <w:rsid w:val="58610B96"/>
    <w:rsid w:val="67085F93"/>
    <w:rsid w:val="67BC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347</Words>
  <Characters>350</Characters>
  <Lines>2</Lines>
  <Paragraphs>1</Paragraphs>
  <TotalTime>4</TotalTime>
  <ScaleCrop>false</ScaleCrop>
  <LinksUpToDate>false</LinksUpToDate>
  <CharactersWithSpaces>400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wlj</cp:lastModifiedBy>
  <cp:lastPrinted>2024-01-25T07:22:35Z</cp:lastPrinted>
  <dcterms:modified xsi:type="dcterms:W3CDTF">2024-01-25T07:41:30Z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5F27CF67D2C540A2A0286E47876D1567_13</vt:lpwstr>
  </property>
</Properties>
</file>