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w:t>
      </w:r>
      <w:bookmarkStart w:id="0" w:name="_GoBack"/>
      <w:bookmarkEnd w:id="0"/>
      <w:r>
        <w:rPr>
          <w:rFonts w:ascii="仿宋" w:hAnsi="仿宋" w:eastAsia="仿宋"/>
          <w:sz w:val="32"/>
          <w:szCs w:val="32"/>
        </w:rPr>
        <w:t>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w:t>
      </w:r>
      <w:r>
        <w:rPr>
          <w:rFonts w:hint="eastAsia" w:ascii="仿宋" w:hAnsi="仿宋" w:eastAsia="仿宋"/>
          <w:sz w:val="32"/>
          <w:szCs w:val="32"/>
          <w:lang w:eastAsia="zh-CN"/>
        </w:rPr>
        <w:t>城乡社区支出</w:t>
      </w:r>
      <w:r>
        <w:rPr>
          <w:rFonts w:ascii="仿宋" w:hAnsi="仿宋" w:eastAsia="仿宋"/>
          <w:sz w:val="32"/>
          <w:szCs w:val="32"/>
        </w:rPr>
        <w:t>、社会保障和就业支出、卫生健康支出、住房保障支出。202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121.46</w:t>
      </w:r>
      <w:r>
        <w:rPr>
          <w:rFonts w:ascii="仿宋" w:hAnsi="仿宋" w:eastAsia="仿宋"/>
          <w:sz w:val="32"/>
          <w:szCs w:val="32"/>
        </w:rPr>
        <w:t>万元，主要原因是</w:t>
      </w:r>
      <w:r>
        <w:rPr>
          <w:rFonts w:hint="eastAsia" w:ascii="仿宋" w:hAnsi="仿宋" w:eastAsia="仿宋"/>
          <w:sz w:val="32"/>
          <w:szCs w:val="32"/>
          <w:lang w:eastAsia="zh-CN"/>
        </w:rPr>
        <w:t>人员减少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1097.67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95.79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48.2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4.21</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eastAsia="zh-CN"/>
        </w:rPr>
        <w:t>城乡社区</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860.79</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lang w:val="en-US" w:eastAsia="zh-CN"/>
        </w:rPr>
        <w:t>137.74</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51.25</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96.09</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1097.67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95.79</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48.2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4.21</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color w:val="000000" w:themeColor="text1"/>
          <w:sz w:val="32"/>
          <w:szCs w:val="32"/>
          <w14:textFill>
            <w14:solidFill>
              <w14:schemeClr w14:val="tx1"/>
            </w14:solidFill>
          </w14:textFill>
        </w:rPr>
        <w:t>城乡社区管理</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137.74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12.02</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51.25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4.47</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96.09</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8.39</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1145.87</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1097.67</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48.2</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8.75</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8.75</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预算资金增加</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sz w:val="32"/>
          <w:szCs w:val="32"/>
        </w:rPr>
      </w:pPr>
      <w:r>
        <w:rPr>
          <w:rFonts w:ascii="仿宋" w:hAnsi="仿宋" w:eastAsia="仿宋"/>
          <w:b/>
          <w:color w:val="000000" w:themeColor="text1"/>
          <w:sz w:val="32"/>
          <w:szCs w:val="32"/>
          <w14:textFill>
            <w14:solidFill>
              <w14:schemeClr w14:val="tx1"/>
            </w14:solidFill>
          </w14:textFill>
        </w:rPr>
        <w:t>本部门无政府性基金预算拨款</w:t>
      </w:r>
      <w:r>
        <w:rPr>
          <w:rFonts w:hint="eastAsia" w:ascii="仿宋" w:hAnsi="仿宋" w:eastAsia="仿宋"/>
          <w:b/>
          <w:color w:val="000000" w:themeColor="text1"/>
          <w:sz w:val="32"/>
          <w:szCs w:val="32"/>
          <w14:textFill>
            <w14:solidFill>
              <w14:schemeClr w14:val="tx1"/>
            </w14:solidFill>
          </w14:textFill>
        </w:rPr>
        <w:t>。</w:t>
      </w:r>
      <w:r>
        <w:rPr>
          <w:rFonts w:ascii="仿宋" w:hAnsi="仿宋" w:eastAsia="仿宋"/>
          <w:b/>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3"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没有机关运行经费</w:t>
      </w:r>
    </w:p>
    <w:p>
      <w:pPr>
        <w:ind w:firstLine="640" w:firstLineChars="200"/>
        <w:rPr>
          <w:rFonts w:hint="eastAsia" w:ascii="楷体" w:hAnsi="楷体" w:eastAsia="楷体"/>
          <w:color w:val="000000" w:themeColor="text1"/>
          <w:sz w:val="32"/>
          <w:szCs w:val="32"/>
          <w14:textFill>
            <w14:solidFill>
              <w14:schemeClr w14:val="tx1"/>
            </w14:solidFill>
          </w14:textFill>
        </w:rPr>
      </w:pPr>
      <w:r>
        <w:rPr>
          <w:rFonts w:ascii="楷体" w:hAnsi="楷体" w:eastAsia="楷体"/>
          <w:sz w:val="32"/>
          <w:szCs w:val="32"/>
        </w:rPr>
        <w:t>（二）政府采购情况</w:t>
      </w:r>
    </w:p>
    <w:p>
      <w:pPr>
        <w:ind w:firstLine="643" w:firstLineChars="200"/>
        <w:rPr>
          <w:rFonts w:hint="eastAsia"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本部门无政府采购预算</w:t>
      </w:r>
      <w:r>
        <w:rPr>
          <w:rFonts w:ascii="仿宋" w:hAnsi="仿宋" w:eastAsia="仿宋"/>
          <w:color w:val="000000" w:themeColor="text1"/>
          <w:sz w:val="32"/>
          <w:szCs w:val="32"/>
          <w14:textFill>
            <w14:solidFill>
              <w14:schemeClr w14:val="tx1"/>
            </w14:solidFill>
          </w14:textFill>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000000" w:themeColor="text1"/>
          <w:sz w:val="32"/>
          <w:szCs w:val="32"/>
          <w14:textFill>
            <w14:solidFill>
              <w14:schemeClr w14:val="tx1"/>
            </w14:solidFill>
          </w14:textFill>
        </w:rPr>
        <w:t>没有</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color w:val="000000" w:themeColor="text1"/>
          <w:sz w:val="32"/>
          <w:szCs w:val="32"/>
          <w:lang w:eastAsia="zh-CN"/>
          <w14:textFill>
            <w14:solidFill>
              <w14:schemeClr w14:val="tx1"/>
            </w14:solidFill>
          </w14:textFill>
        </w:rPr>
      </w:pPr>
      <w:r>
        <w:rPr>
          <w:rFonts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b/>
          <w:color w:val="000000" w:themeColor="text1"/>
          <w:sz w:val="32"/>
          <w:szCs w:val="32"/>
          <w14:textFill>
            <w14:solidFill>
              <w14:schemeClr w14:val="tx1"/>
            </w14:solidFill>
          </w14:textFill>
        </w:rPr>
        <w:t>本年度无</w:t>
      </w:r>
      <w:r>
        <w:rPr>
          <w:rFonts w:ascii="仿宋" w:hAnsi="仿宋" w:eastAsia="仿宋"/>
          <w:b/>
          <w:color w:val="000000" w:themeColor="text1"/>
          <w:sz w:val="32"/>
          <w:szCs w:val="32"/>
          <w14:textFill>
            <w14:solidFill>
              <w14:schemeClr w14:val="tx1"/>
            </w14:solidFill>
          </w14:textFill>
        </w:rPr>
        <w:t>一级项目支出</w:t>
      </w:r>
      <w:r>
        <w:rPr>
          <w:rFonts w:hint="eastAsia" w:ascii="仿宋" w:hAnsi="仿宋" w:eastAsia="仿宋"/>
          <w:b/>
          <w:color w:val="000000" w:themeColor="text1"/>
          <w:sz w:val="32"/>
          <w:szCs w:val="32"/>
          <w14:textFill>
            <w14:solidFill>
              <w14:schemeClr w14:val="tx1"/>
            </w14:solidFill>
          </w14:textFill>
        </w:rPr>
        <w:t>预算</w:t>
      </w:r>
      <w:r>
        <w:rPr>
          <w:rFonts w:hint="eastAsia" w:ascii="仿宋" w:hAnsi="仿宋" w:eastAsia="仿宋"/>
          <w:b/>
          <w:color w:val="000000" w:themeColor="text1"/>
          <w:sz w:val="32"/>
          <w:szCs w:val="32"/>
          <w:lang w:eastAsia="zh-CN"/>
          <w14:textFill>
            <w14:solidFill>
              <w14:schemeClr w14:val="tx1"/>
            </w14:solidFill>
          </w14:textFill>
        </w:rPr>
        <w:t>。</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zOWFhNDIxOTI4NTllYzY5ZWJhYmE2MzFmZmFkY2Q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47B1680"/>
    <w:rsid w:val="17E5678D"/>
    <w:rsid w:val="1AC0210B"/>
    <w:rsid w:val="275F628E"/>
    <w:rsid w:val="286C41F2"/>
    <w:rsid w:val="287A089D"/>
    <w:rsid w:val="3BEA738C"/>
    <w:rsid w:val="423F612A"/>
    <w:rsid w:val="49F37B74"/>
    <w:rsid w:val="4B925A34"/>
    <w:rsid w:val="671644B9"/>
    <w:rsid w:val="6D9D16F0"/>
    <w:rsid w:val="70DF43E5"/>
    <w:rsid w:val="75D73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7</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2022-08-12T00:52:00Z</cp:lastPrinted>
  <dcterms:modified xsi:type="dcterms:W3CDTF">2024-01-29T01:29:36Z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CBBE71DA11D241AC950E3D247CEBD5C2</vt:lpwstr>
  </property>
</Properties>
</file>